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861595" w:rsidRDefault="002717D1" w:rsidP="00CF4755">
      <w:pPr>
        <w:pStyle w:val="Sinespaciado"/>
        <w:jc w:val="center"/>
        <w:rPr>
          <w:rFonts w:ascii="Edwardian Script ITC" w:hAnsi="Edwardian Script ITC"/>
          <w:b/>
          <w:sz w:val="34"/>
          <w:szCs w:val="34"/>
          <w:lang w:eastAsia="es-MX"/>
        </w:rPr>
      </w:pPr>
      <w:r w:rsidRPr="00861595">
        <w:rPr>
          <w:rFonts w:ascii="Edwardian Script ITC" w:hAnsi="Edwardian Script ITC"/>
          <w:b/>
          <w:sz w:val="34"/>
          <w:szCs w:val="34"/>
        </w:rPr>
        <w:t>Rama Legislativa del Poder Público</w:t>
      </w:r>
      <w:bookmarkStart w:id="0" w:name="_GoBack"/>
      <w:bookmarkEnd w:id="0"/>
    </w:p>
    <w:p w14:paraId="70574CBC" w14:textId="77777777" w:rsidR="002717D1" w:rsidRPr="00861595" w:rsidRDefault="002717D1" w:rsidP="00CF4755">
      <w:pPr>
        <w:pStyle w:val="Sinespaciado"/>
        <w:jc w:val="center"/>
        <w:rPr>
          <w:rFonts w:ascii="Edwardian Script ITC" w:hAnsi="Edwardian Script ITC"/>
          <w:b/>
          <w:sz w:val="34"/>
          <w:szCs w:val="34"/>
        </w:rPr>
      </w:pPr>
      <w:r w:rsidRPr="00861595">
        <w:rPr>
          <w:rFonts w:ascii="Edwardian Script ITC" w:hAnsi="Edwardian Script ITC"/>
          <w:b/>
          <w:sz w:val="34"/>
          <w:szCs w:val="34"/>
        </w:rPr>
        <w:t>Comisión Séptima Constitucional Permanente</w:t>
      </w:r>
    </w:p>
    <w:p w14:paraId="6027C56D" w14:textId="77777777" w:rsidR="002717D1" w:rsidRPr="00861595" w:rsidRDefault="007E2AD8" w:rsidP="00CF4755">
      <w:pPr>
        <w:pStyle w:val="Sinespaciado"/>
        <w:jc w:val="center"/>
        <w:rPr>
          <w:rFonts w:ascii="Edwardian Script ITC" w:hAnsi="Edwardian Script ITC"/>
          <w:b/>
          <w:sz w:val="34"/>
          <w:szCs w:val="34"/>
        </w:rPr>
      </w:pPr>
      <w:r>
        <w:rPr>
          <w:rFonts w:ascii="Edwardian Script ITC" w:hAnsi="Edwardian Script ITC"/>
          <w:b/>
          <w:sz w:val="34"/>
          <w:szCs w:val="34"/>
        </w:rPr>
        <w:t>Legislatura 2021-2022</w:t>
      </w:r>
    </w:p>
    <w:p w14:paraId="70CDCD9F" w14:textId="77777777" w:rsidR="00A769D4" w:rsidRDefault="00A769D4" w:rsidP="00CF4755">
      <w:pPr>
        <w:pStyle w:val="Sinespaciado"/>
        <w:jc w:val="center"/>
        <w:rPr>
          <w:rFonts w:ascii="Edwardian Script ITC" w:hAnsi="Edwardian Script ITC" w:cs="Arial"/>
          <w:b/>
          <w:sz w:val="18"/>
          <w:szCs w:val="18"/>
        </w:rPr>
      </w:pPr>
    </w:p>
    <w:p w14:paraId="2256439A" w14:textId="47DFB9A3" w:rsidR="005530EF" w:rsidRPr="00F7192A" w:rsidRDefault="00E8300E" w:rsidP="006A100D">
      <w:pPr>
        <w:pStyle w:val="Sinespaciado"/>
        <w:jc w:val="both"/>
        <w:rPr>
          <w:rFonts w:ascii="Arial" w:hAnsi="Arial" w:cs="Arial"/>
          <w:b/>
          <w:sz w:val="23"/>
          <w:szCs w:val="23"/>
        </w:rPr>
      </w:pPr>
      <w:r w:rsidRPr="00F7192A">
        <w:rPr>
          <w:rFonts w:ascii="Arial" w:hAnsi="Arial" w:cs="Arial"/>
          <w:b/>
          <w:bCs/>
          <w:sz w:val="23"/>
          <w:szCs w:val="23"/>
        </w:rPr>
        <w:t>TEXTO DEFINITIVO APROBADO EN PRIMER DEBATE DEL PROYECTO DE LEY</w:t>
      </w:r>
      <w:r w:rsidR="007D7658">
        <w:rPr>
          <w:rFonts w:ascii="Arial" w:hAnsi="Arial" w:cs="Arial"/>
          <w:b/>
          <w:bCs/>
          <w:sz w:val="23"/>
          <w:szCs w:val="23"/>
        </w:rPr>
        <w:t xml:space="preserve"> N</w:t>
      </w:r>
      <w:r w:rsidR="00AD0929">
        <w:rPr>
          <w:rFonts w:ascii="Arial" w:hAnsi="Arial" w:cs="Arial"/>
          <w:b/>
          <w:bCs/>
          <w:sz w:val="23"/>
          <w:szCs w:val="23"/>
        </w:rPr>
        <w:t>o</w:t>
      </w:r>
      <w:r w:rsidR="007D7658">
        <w:rPr>
          <w:rFonts w:ascii="Arial" w:hAnsi="Arial" w:cs="Arial"/>
          <w:b/>
          <w:bCs/>
          <w:sz w:val="23"/>
          <w:szCs w:val="23"/>
        </w:rPr>
        <w:t xml:space="preserve">. </w:t>
      </w:r>
      <w:r w:rsidR="007D7658" w:rsidRPr="007D7658">
        <w:rPr>
          <w:rFonts w:ascii="Arial" w:hAnsi="Arial" w:cs="Arial"/>
          <w:b/>
          <w:bCs/>
          <w:sz w:val="23"/>
          <w:szCs w:val="23"/>
        </w:rPr>
        <w:t>232 DE 2021 CÁMARA “POR MEDIO DE LA CUAL SE REGLAMENTA EL MODELO PARA LA ATENCIÓN Y SEGUIMIENTO DE ADOLESCENTES Y JÓVENES QUE ESTUVIERON BAJO CUSTODIA DEL ESTADO A TRAVÉS DEL INSTITUTO COLOMBIANO DE BIENESTAR FAMILIAR”</w:t>
      </w:r>
      <w:r w:rsidR="007D7658" w:rsidRPr="007D7658">
        <w:rPr>
          <w:rFonts w:ascii="Arial" w:hAnsi="Arial" w:cs="Arial"/>
          <w:b/>
          <w:sz w:val="23"/>
          <w:szCs w:val="23"/>
        </w:rPr>
        <w:t>.</w:t>
      </w:r>
    </w:p>
    <w:p w14:paraId="626C21B7" w14:textId="77777777" w:rsidR="000C53A5" w:rsidRPr="00F7192A" w:rsidRDefault="000C53A5" w:rsidP="00980BFE">
      <w:pPr>
        <w:pStyle w:val="Sinespaciado"/>
        <w:jc w:val="both"/>
        <w:rPr>
          <w:rFonts w:ascii="Arial" w:hAnsi="Arial" w:cs="Arial"/>
          <w:b/>
          <w:sz w:val="23"/>
          <w:szCs w:val="23"/>
        </w:rPr>
      </w:pPr>
    </w:p>
    <w:p w14:paraId="69566137" w14:textId="0DEFE66B" w:rsidR="002717D1" w:rsidRPr="00F7192A" w:rsidRDefault="002717D1" w:rsidP="00980BFE">
      <w:pPr>
        <w:pStyle w:val="Sinespaciado"/>
        <w:jc w:val="center"/>
        <w:rPr>
          <w:rFonts w:ascii="Arial" w:hAnsi="Arial" w:cs="Arial"/>
          <w:sz w:val="23"/>
          <w:szCs w:val="23"/>
        </w:rPr>
      </w:pPr>
      <w:r w:rsidRPr="007D7658">
        <w:rPr>
          <w:rFonts w:ascii="Arial" w:hAnsi="Arial" w:cs="Arial"/>
          <w:sz w:val="23"/>
          <w:szCs w:val="23"/>
        </w:rPr>
        <w:t xml:space="preserve">(Aprobado en la </w:t>
      </w:r>
      <w:r w:rsidR="00503697" w:rsidRPr="007D7658">
        <w:rPr>
          <w:rFonts w:ascii="Arial" w:hAnsi="Arial" w:cs="Arial"/>
          <w:sz w:val="23"/>
          <w:szCs w:val="23"/>
        </w:rPr>
        <w:t>Sesión semipresencial</w:t>
      </w:r>
      <w:r w:rsidR="00E77D6C" w:rsidRPr="007D7658">
        <w:rPr>
          <w:rFonts w:ascii="Arial" w:hAnsi="Arial" w:cs="Arial"/>
          <w:sz w:val="23"/>
          <w:szCs w:val="23"/>
        </w:rPr>
        <w:t xml:space="preserve"> </w:t>
      </w:r>
      <w:r w:rsidRPr="007D7658">
        <w:rPr>
          <w:rFonts w:ascii="Arial" w:hAnsi="Arial" w:cs="Arial"/>
          <w:sz w:val="23"/>
          <w:szCs w:val="23"/>
        </w:rPr>
        <w:t>de</w:t>
      </w:r>
      <w:r w:rsidR="006B757E" w:rsidRPr="007D7658">
        <w:rPr>
          <w:rFonts w:ascii="Arial" w:hAnsi="Arial" w:cs="Arial"/>
          <w:sz w:val="23"/>
          <w:szCs w:val="23"/>
        </w:rPr>
        <w:t xml:space="preserve">l </w:t>
      </w:r>
      <w:r w:rsidR="007D7658" w:rsidRPr="007D7658">
        <w:rPr>
          <w:rFonts w:ascii="Arial" w:hAnsi="Arial" w:cs="Arial"/>
          <w:sz w:val="23"/>
          <w:szCs w:val="23"/>
        </w:rPr>
        <w:t>26</w:t>
      </w:r>
      <w:r w:rsidR="007E2AD8" w:rsidRPr="007D7658">
        <w:rPr>
          <w:rFonts w:ascii="Arial" w:hAnsi="Arial" w:cs="Arial"/>
          <w:sz w:val="23"/>
          <w:szCs w:val="23"/>
        </w:rPr>
        <w:t xml:space="preserve"> de </w:t>
      </w:r>
      <w:r w:rsidR="00503697" w:rsidRPr="007D7658">
        <w:rPr>
          <w:rFonts w:ascii="Arial" w:hAnsi="Arial" w:cs="Arial"/>
          <w:sz w:val="23"/>
          <w:szCs w:val="23"/>
        </w:rPr>
        <w:t>octubre</w:t>
      </w:r>
      <w:r w:rsidR="0011513A" w:rsidRPr="007D7658">
        <w:rPr>
          <w:rFonts w:ascii="Arial" w:hAnsi="Arial" w:cs="Arial"/>
          <w:sz w:val="23"/>
          <w:szCs w:val="23"/>
        </w:rPr>
        <w:t xml:space="preserve"> de 2021</w:t>
      </w:r>
      <w:r w:rsidR="00282D98" w:rsidRPr="007D7658">
        <w:rPr>
          <w:rFonts w:ascii="Arial" w:hAnsi="Arial" w:cs="Arial"/>
          <w:sz w:val="23"/>
          <w:szCs w:val="23"/>
        </w:rPr>
        <w:t>,</w:t>
      </w:r>
      <w:r w:rsidRPr="007D7658">
        <w:rPr>
          <w:rFonts w:ascii="Arial" w:hAnsi="Arial" w:cs="Arial"/>
          <w:sz w:val="23"/>
          <w:szCs w:val="23"/>
        </w:rPr>
        <w:t xml:space="preserve"> Comisión VII </w:t>
      </w:r>
      <w:r w:rsidR="00282D98" w:rsidRPr="007D7658">
        <w:rPr>
          <w:rFonts w:ascii="Arial" w:hAnsi="Arial" w:cs="Arial"/>
          <w:sz w:val="23"/>
          <w:szCs w:val="23"/>
        </w:rPr>
        <w:t xml:space="preserve">Constitucional Permanente </w:t>
      </w:r>
      <w:r w:rsidRPr="007D7658">
        <w:rPr>
          <w:rFonts w:ascii="Arial" w:hAnsi="Arial" w:cs="Arial"/>
          <w:sz w:val="23"/>
          <w:szCs w:val="23"/>
        </w:rPr>
        <w:t>de la H. Cámara de Representantes, Acta No.</w:t>
      </w:r>
      <w:r w:rsidR="006B757E" w:rsidRPr="007D7658">
        <w:rPr>
          <w:rFonts w:ascii="Arial" w:hAnsi="Arial" w:cs="Arial"/>
          <w:sz w:val="23"/>
          <w:szCs w:val="23"/>
        </w:rPr>
        <w:t xml:space="preserve"> </w:t>
      </w:r>
      <w:r w:rsidR="007D7658" w:rsidRPr="007D7658">
        <w:rPr>
          <w:rFonts w:ascii="Arial" w:hAnsi="Arial" w:cs="Arial"/>
          <w:sz w:val="23"/>
          <w:szCs w:val="23"/>
        </w:rPr>
        <w:t>23</w:t>
      </w:r>
      <w:r w:rsidRPr="007D7658">
        <w:rPr>
          <w:rFonts w:ascii="Arial" w:hAnsi="Arial" w:cs="Arial"/>
          <w:sz w:val="23"/>
          <w:szCs w:val="23"/>
        </w:rPr>
        <w:t>)</w:t>
      </w:r>
    </w:p>
    <w:p w14:paraId="31DC5EDC" w14:textId="77777777" w:rsidR="00E24232" w:rsidRPr="00F7192A" w:rsidRDefault="00E24232" w:rsidP="00980BFE">
      <w:pPr>
        <w:pStyle w:val="Sinespaciado"/>
        <w:jc w:val="both"/>
        <w:rPr>
          <w:rFonts w:ascii="Arial" w:hAnsi="Arial" w:cs="Arial"/>
          <w:sz w:val="23"/>
          <w:szCs w:val="23"/>
        </w:rPr>
      </w:pPr>
    </w:p>
    <w:p w14:paraId="6E2FFCA1" w14:textId="77777777" w:rsidR="001C7B89" w:rsidRPr="00F7192A" w:rsidRDefault="001C7B89" w:rsidP="00980BFE">
      <w:pPr>
        <w:pStyle w:val="Sinespaciado"/>
        <w:jc w:val="center"/>
        <w:rPr>
          <w:rFonts w:ascii="Arial" w:hAnsi="Arial" w:cs="Arial"/>
          <w:b/>
          <w:sz w:val="23"/>
          <w:szCs w:val="23"/>
        </w:rPr>
      </w:pPr>
      <w:r w:rsidRPr="00F7192A">
        <w:rPr>
          <w:rFonts w:ascii="Arial" w:hAnsi="Arial" w:cs="Arial"/>
          <w:b/>
          <w:sz w:val="23"/>
          <w:szCs w:val="23"/>
        </w:rPr>
        <w:t>EL CONGRESO DE COLOMBIA</w:t>
      </w:r>
    </w:p>
    <w:p w14:paraId="41FB9D1B" w14:textId="77777777" w:rsidR="00CE617B" w:rsidRPr="00F7192A" w:rsidRDefault="00CE617B" w:rsidP="00980BFE">
      <w:pPr>
        <w:pStyle w:val="Sinespaciado"/>
        <w:jc w:val="center"/>
        <w:rPr>
          <w:rFonts w:ascii="Arial" w:hAnsi="Arial" w:cs="Arial"/>
          <w:b/>
          <w:sz w:val="23"/>
          <w:szCs w:val="23"/>
        </w:rPr>
      </w:pPr>
    </w:p>
    <w:p w14:paraId="6CC6EEF2" w14:textId="77777777" w:rsidR="00EA48F0" w:rsidRPr="00F7192A" w:rsidRDefault="00EA48F0" w:rsidP="00980BFE">
      <w:pPr>
        <w:pStyle w:val="Sinespaciado"/>
        <w:jc w:val="center"/>
        <w:rPr>
          <w:rFonts w:ascii="Arial" w:hAnsi="Arial" w:cs="Arial"/>
          <w:sz w:val="23"/>
          <w:szCs w:val="23"/>
        </w:rPr>
      </w:pPr>
      <w:r w:rsidRPr="00F7192A">
        <w:rPr>
          <w:rFonts w:ascii="Arial" w:hAnsi="Arial" w:cs="Arial"/>
          <w:b/>
          <w:sz w:val="23"/>
          <w:szCs w:val="23"/>
        </w:rPr>
        <w:t>DECRETA:</w:t>
      </w:r>
    </w:p>
    <w:p w14:paraId="26C9A776" w14:textId="77777777" w:rsidR="00232981" w:rsidRPr="00F7192A" w:rsidRDefault="00232981" w:rsidP="006976EA">
      <w:pPr>
        <w:pStyle w:val="Sinespaciado"/>
        <w:jc w:val="both"/>
        <w:rPr>
          <w:rFonts w:ascii="Arial" w:hAnsi="Arial" w:cs="Arial"/>
          <w:b/>
          <w:sz w:val="23"/>
          <w:szCs w:val="23"/>
        </w:rPr>
      </w:pPr>
    </w:p>
    <w:p w14:paraId="250AD804" w14:textId="77777777" w:rsidR="00E80709" w:rsidRDefault="00E80709" w:rsidP="00E80709">
      <w:pPr>
        <w:spacing w:after="0" w:line="240" w:lineRule="auto"/>
        <w:jc w:val="center"/>
        <w:rPr>
          <w:rFonts w:ascii="Arial" w:eastAsia="Arial" w:hAnsi="Arial" w:cs="Arial"/>
          <w:b/>
        </w:rPr>
      </w:pPr>
      <w:r>
        <w:rPr>
          <w:rFonts w:ascii="Arial" w:eastAsia="Arial" w:hAnsi="Arial" w:cs="Arial"/>
          <w:b/>
        </w:rPr>
        <w:t xml:space="preserve">TITULO I </w:t>
      </w:r>
    </w:p>
    <w:p w14:paraId="2C0DD2A4" w14:textId="77777777" w:rsidR="00E80709" w:rsidRDefault="00E80709" w:rsidP="00E80709">
      <w:pPr>
        <w:spacing w:after="0" w:line="240" w:lineRule="auto"/>
        <w:jc w:val="center"/>
        <w:rPr>
          <w:rFonts w:ascii="Arial" w:eastAsia="Arial" w:hAnsi="Arial" w:cs="Arial"/>
          <w:b/>
        </w:rPr>
      </w:pPr>
      <w:r>
        <w:rPr>
          <w:rFonts w:ascii="Arial" w:eastAsia="Arial" w:hAnsi="Arial" w:cs="Arial"/>
          <w:b/>
        </w:rPr>
        <w:t>DISPOSICIONES GENERALES</w:t>
      </w:r>
    </w:p>
    <w:p w14:paraId="2956B878" w14:textId="77777777" w:rsidR="00E80709" w:rsidRDefault="00E80709" w:rsidP="00E80709">
      <w:pPr>
        <w:spacing w:after="0" w:line="240" w:lineRule="auto"/>
        <w:jc w:val="both"/>
        <w:rPr>
          <w:rFonts w:ascii="Arial" w:eastAsia="Arial" w:hAnsi="Arial" w:cs="Arial"/>
          <w:b/>
        </w:rPr>
      </w:pPr>
      <w:r>
        <w:rPr>
          <w:rFonts w:ascii="Arial" w:eastAsia="Arial" w:hAnsi="Arial" w:cs="Arial"/>
          <w:b/>
        </w:rPr>
        <w:t xml:space="preserve"> </w:t>
      </w:r>
    </w:p>
    <w:p w14:paraId="7EEF93BB" w14:textId="77777777" w:rsidR="00E80709" w:rsidRPr="00E80709" w:rsidRDefault="00E80709" w:rsidP="00E80709">
      <w:pPr>
        <w:pStyle w:val="Sinespaciado"/>
        <w:jc w:val="both"/>
        <w:rPr>
          <w:rFonts w:ascii="Arial" w:hAnsi="Arial" w:cs="Arial"/>
        </w:rPr>
      </w:pPr>
      <w:r w:rsidRPr="00E80709">
        <w:rPr>
          <w:rFonts w:ascii="Arial" w:hAnsi="Arial" w:cs="Arial"/>
          <w:b/>
        </w:rPr>
        <w:t>Artículo 1. Objeto.</w:t>
      </w:r>
      <w:r w:rsidRPr="00E80709">
        <w:rPr>
          <w:rFonts w:ascii="Arial" w:hAnsi="Arial" w:cs="Arial"/>
        </w:rPr>
        <w:t xml:space="preserve"> La presente Ley tiene como objeto la implementación de medidas tendientes a crear una política pública que permita fortalecer el proceso formativo y de seguimiento a  los niños, niñas y adolescentes declarados en adoptabilidad del Instituto Colombiano de Bienestar Familiar (ICBF) y de los adolescentes y jóvenes  que se encuentren en el Sistema de Responsabilidad Penal para Adolescentes (SRPA) con medida privativa de la libertad en Centro de Atención Especializada y cumplan con las condiciones establecidas para su permanencia en el lineamiento técnico que expida el Instituto Colombiano de Bienestar Familiar (ICBF) hasta los veinticinco (25) años de edad, a fin de asegurar la inclusión social y lograr su máximo desarrollo personal y social. </w:t>
      </w:r>
    </w:p>
    <w:p w14:paraId="4803595B" w14:textId="77777777" w:rsidR="00E80709" w:rsidRPr="00E80709" w:rsidRDefault="00E80709" w:rsidP="00E80709">
      <w:pPr>
        <w:pStyle w:val="Sinespaciado"/>
        <w:jc w:val="both"/>
        <w:rPr>
          <w:rFonts w:ascii="Arial" w:hAnsi="Arial" w:cs="Arial"/>
        </w:rPr>
      </w:pPr>
    </w:p>
    <w:p w14:paraId="4387CB9B" w14:textId="77777777" w:rsidR="00E80709" w:rsidRPr="00E80709" w:rsidRDefault="00E80709" w:rsidP="00E80709">
      <w:pPr>
        <w:pStyle w:val="Sinespaciado"/>
        <w:jc w:val="both"/>
        <w:rPr>
          <w:rFonts w:ascii="Arial" w:hAnsi="Arial" w:cs="Arial"/>
        </w:rPr>
      </w:pPr>
      <w:r w:rsidRPr="00E80709">
        <w:rPr>
          <w:rFonts w:ascii="Arial" w:hAnsi="Arial" w:cs="Arial"/>
          <w:b/>
        </w:rPr>
        <w:t>Parágrafo.</w:t>
      </w:r>
      <w:r w:rsidRPr="00E80709">
        <w:rPr>
          <w:rFonts w:ascii="Arial" w:hAnsi="Arial" w:cs="Arial"/>
        </w:rPr>
        <w:t xml:space="preserve"> Los adolescentes y jóvenes que se encuentren en el Sistema de Responsabilidad Penal para Adolescentes (SRPA) con medida privativa de la libertad en Centro de Atención Especializado, beneficiarios de la presente Ley serán aquellos adolescentes y jóvenes que estuvieron bajo custodia del Estado a través del Instituto Colombiano de Bienestar Familiar (ICBF), es decir, no harán parte de la población beneficiada, los adolescentes o jóvenes cuya custodia y cuidado la tengan sus progenitores o un tercero.</w:t>
      </w:r>
    </w:p>
    <w:p w14:paraId="4B9AC117" w14:textId="77777777" w:rsidR="00E80709" w:rsidRPr="00E80709" w:rsidRDefault="00E80709" w:rsidP="00E80709">
      <w:pPr>
        <w:pStyle w:val="Sinespaciado"/>
        <w:jc w:val="both"/>
        <w:rPr>
          <w:rFonts w:ascii="Arial" w:hAnsi="Arial" w:cs="Arial"/>
        </w:rPr>
      </w:pPr>
    </w:p>
    <w:p w14:paraId="7757B40F" w14:textId="756B21EC" w:rsidR="00E80709" w:rsidRPr="00E80709" w:rsidRDefault="00E80709" w:rsidP="00E80709">
      <w:pPr>
        <w:pStyle w:val="Sinespaciado"/>
        <w:jc w:val="both"/>
        <w:rPr>
          <w:rFonts w:ascii="Arial" w:hAnsi="Arial" w:cs="Arial"/>
        </w:rPr>
      </w:pPr>
      <w:r w:rsidRPr="00E80709">
        <w:rPr>
          <w:rFonts w:ascii="Arial" w:hAnsi="Arial" w:cs="Arial"/>
          <w:b/>
        </w:rPr>
        <w:t>Artículo 2. Responsabilidad de las entidades.</w:t>
      </w:r>
      <w:r w:rsidRPr="00E80709">
        <w:rPr>
          <w:rFonts w:ascii="Arial" w:hAnsi="Arial" w:cs="Arial"/>
        </w:rPr>
        <w:t xml:space="preserve"> Las entidades públicas del orden nacional, departamental, distrital y municipal garantizarán la inclusión real y efectiva de la población beneficiaria de esta ley, debiendo asegurar un trato preferente y diferencial, que implique el ejercicio cierto de sus derechos.</w:t>
      </w:r>
    </w:p>
    <w:p w14:paraId="7AA38A79" w14:textId="77777777" w:rsidR="00E80709" w:rsidRPr="00E80709" w:rsidRDefault="00E80709" w:rsidP="00E80709">
      <w:pPr>
        <w:pStyle w:val="Sinespaciado"/>
        <w:jc w:val="both"/>
        <w:rPr>
          <w:rFonts w:ascii="Arial" w:hAnsi="Arial" w:cs="Arial"/>
        </w:rPr>
      </w:pPr>
    </w:p>
    <w:p w14:paraId="10533AAE" w14:textId="2A01529F" w:rsidR="00E80709" w:rsidRPr="00E80709" w:rsidRDefault="00E80709" w:rsidP="00E80709">
      <w:pPr>
        <w:pStyle w:val="Sinespaciado"/>
        <w:jc w:val="both"/>
        <w:rPr>
          <w:rFonts w:ascii="Arial" w:hAnsi="Arial" w:cs="Arial"/>
        </w:rPr>
      </w:pPr>
      <w:r w:rsidRPr="00E80709">
        <w:rPr>
          <w:rFonts w:ascii="Arial" w:hAnsi="Arial" w:cs="Arial"/>
          <w:b/>
        </w:rPr>
        <w:t>Artículo 3. Proyecto De Vida.</w:t>
      </w:r>
      <w:r w:rsidRPr="00E80709">
        <w:rPr>
          <w:rFonts w:ascii="Arial" w:hAnsi="Arial" w:cs="Arial"/>
        </w:rPr>
        <w:t xml:space="preserve"> Para efectos de esta Ley, por proyecto de vida se entenderá aquel proceso de construcción permanente durante el ciclo vital del ser humano que integra el contexto sociocultural en los que se desarrolla el individuo, permitiéndole tomar decisiones libres e informadas y el desarrollo de un pensamiento autocrítico, reflexivo y creativo. </w:t>
      </w:r>
    </w:p>
    <w:p w14:paraId="63FEEB91" w14:textId="77777777" w:rsidR="00E80709" w:rsidRPr="00E80709" w:rsidRDefault="00E80709" w:rsidP="00E80709">
      <w:pPr>
        <w:pStyle w:val="Sinespaciado"/>
        <w:jc w:val="both"/>
        <w:rPr>
          <w:rFonts w:ascii="Arial" w:hAnsi="Arial" w:cs="Arial"/>
        </w:rPr>
      </w:pPr>
    </w:p>
    <w:p w14:paraId="45A00905" w14:textId="77777777" w:rsidR="00E80709" w:rsidRPr="00E80709" w:rsidRDefault="00E80709" w:rsidP="00E80709">
      <w:pPr>
        <w:pStyle w:val="Sinespaciado"/>
        <w:jc w:val="both"/>
        <w:rPr>
          <w:rFonts w:ascii="Arial" w:hAnsi="Arial" w:cs="Arial"/>
        </w:rPr>
      </w:pPr>
      <w:r w:rsidRPr="00E80709">
        <w:rPr>
          <w:rFonts w:ascii="Arial" w:hAnsi="Arial" w:cs="Arial"/>
        </w:rPr>
        <w:t>En este sentido, el proyecto de vida le permite identificar a la población beneficiaria de esta ley, los recursos y potenciales personales, así como reconocer lo que el entorno ofrece para que, a partir de ello, se logre la preparación para una vida autónoma e independiente.</w:t>
      </w:r>
    </w:p>
    <w:p w14:paraId="2786DB83" w14:textId="77777777" w:rsidR="00E80709" w:rsidRPr="00E80709" w:rsidRDefault="00E80709" w:rsidP="00E80709">
      <w:pPr>
        <w:pStyle w:val="Sinespaciado"/>
        <w:jc w:val="both"/>
        <w:rPr>
          <w:rFonts w:ascii="Arial" w:hAnsi="Arial" w:cs="Arial"/>
        </w:rPr>
      </w:pPr>
    </w:p>
    <w:p w14:paraId="40E6075F" w14:textId="0FCB6938" w:rsidR="00E80709" w:rsidRPr="001D3991" w:rsidRDefault="00E80709" w:rsidP="00E80709">
      <w:pPr>
        <w:pStyle w:val="Sinespaciado"/>
        <w:jc w:val="both"/>
        <w:rPr>
          <w:rFonts w:ascii="Arial" w:hAnsi="Arial" w:cs="Arial"/>
        </w:rPr>
      </w:pPr>
      <w:r w:rsidRPr="001D3991">
        <w:rPr>
          <w:rFonts w:ascii="Arial" w:hAnsi="Arial" w:cs="Arial"/>
          <w:b/>
        </w:rPr>
        <w:t xml:space="preserve">Artículo 4. Estrategia De Fortalecimiento Del Proyecto De Vida. </w:t>
      </w:r>
      <w:r w:rsidRPr="001D3991">
        <w:rPr>
          <w:rFonts w:ascii="Arial" w:hAnsi="Arial" w:cs="Arial"/>
        </w:rPr>
        <w:t xml:space="preserve">Créase la estrategia de fortalecimiento del proyecto de vida para la población beneficiaria de esta ley. La estrategia permitirá que, con trato preferente, se brinde una orientación socio-ocupacional, se promueva la construcción de su identidad, su participación en escenarios culturales, artísticos, deportivos, de recreación, y el acceso a la salud, a la educación y al trabajo, con el fin de consolidar su proyecto de vida. </w:t>
      </w:r>
    </w:p>
    <w:p w14:paraId="53B5AC70" w14:textId="77777777" w:rsidR="00E80709" w:rsidRPr="001D3991" w:rsidRDefault="00E80709" w:rsidP="00E80709">
      <w:pPr>
        <w:pStyle w:val="Sinespaciado"/>
        <w:jc w:val="both"/>
        <w:rPr>
          <w:rFonts w:ascii="Arial" w:hAnsi="Arial" w:cs="Arial"/>
        </w:rPr>
      </w:pPr>
    </w:p>
    <w:p w14:paraId="7BA53839" w14:textId="6CE18D82" w:rsidR="00E80709" w:rsidRPr="001D3991" w:rsidRDefault="00E80709" w:rsidP="00E80709">
      <w:pPr>
        <w:pStyle w:val="Sinespaciado"/>
        <w:jc w:val="both"/>
        <w:rPr>
          <w:rFonts w:ascii="Arial" w:hAnsi="Arial" w:cs="Arial"/>
        </w:rPr>
      </w:pPr>
      <w:r w:rsidRPr="001D3991">
        <w:rPr>
          <w:rFonts w:ascii="Arial" w:hAnsi="Arial" w:cs="Arial"/>
        </w:rPr>
        <w:t xml:space="preserve">El </w:t>
      </w:r>
      <w:r w:rsidR="001D3991" w:rsidRPr="001D3991">
        <w:rPr>
          <w:rFonts w:ascii="Arial" w:hAnsi="Arial" w:cs="Arial"/>
        </w:rPr>
        <w:t xml:space="preserve">Ministerio de Educación en coordinación con el </w:t>
      </w:r>
      <w:r w:rsidRPr="001D3991">
        <w:rPr>
          <w:rFonts w:ascii="Arial" w:hAnsi="Arial" w:cs="Arial"/>
        </w:rPr>
        <w:t>Instituto Colombiano de Bienestar Familiar (ICBF) estará</w:t>
      </w:r>
      <w:r w:rsidR="00AD0929">
        <w:rPr>
          <w:rFonts w:ascii="Arial" w:hAnsi="Arial" w:cs="Arial"/>
        </w:rPr>
        <w:t>n</w:t>
      </w:r>
      <w:r w:rsidRPr="001D3991">
        <w:rPr>
          <w:rFonts w:ascii="Arial" w:hAnsi="Arial" w:cs="Arial"/>
        </w:rPr>
        <w:t xml:space="preserve"> a cargo de la estrategia y coordinará con las entidades competentes los criterios de ingreso, permanencia y egreso de la estrategia en todos sus componentes. Para ello, deberá elaborar esta estrategia de manera coordinada con el Ministerio de Justicia y del Derecho, en su calidad de rector del Sistema Nacional de Coordinación de Responsabilidad Penal para Adolescentes (SNCRPA), en lo relativo a las personas que siendo menores de edad ingresaron al Sistema de Responsabilidad Penal para Adolescentes con medida privativa de la libertad en Centro de Atención Especializada.  </w:t>
      </w:r>
    </w:p>
    <w:p w14:paraId="0C6AE65C" w14:textId="77777777" w:rsidR="00E80709" w:rsidRPr="001D3991" w:rsidRDefault="00E80709" w:rsidP="00E80709">
      <w:pPr>
        <w:pStyle w:val="Sinespaciado"/>
        <w:jc w:val="both"/>
        <w:rPr>
          <w:rFonts w:ascii="Arial" w:hAnsi="Arial" w:cs="Arial"/>
        </w:rPr>
      </w:pPr>
      <w:r w:rsidRPr="001D3991">
        <w:rPr>
          <w:rFonts w:ascii="Arial" w:hAnsi="Arial" w:cs="Arial"/>
        </w:rPr>
        <w:t xml:space="preserve"> </w:t>
      </w:r>
    </w:p>
    <w:p w14:paraId="7C141070" w14:textId="77777777" w:rsidR="00E80709" w:rsidRPr="001D3991" w:rsidRDefault="00E80709" w:rsidP="00E80709">
      <w:pPr>
        <w:pStyle w:val="Sinespaciado"/>
        <w:jc w:val="both"/>
        <w:rPr>
          <w:rFonts w:ascii="Arial" w:hAnsi="Arial" w:cs="Arial"/>
        </w:rPr>
      </w:pPr>
      <w:r w:rsidRPr="001D3991">
        <w:rPr>
          <w:rFonts w:ascii="Arial" w:hAnsi="Arial" w:cs="Arial"/>
        </w:rPr>
        <w:t xml:space="preserve">Las entidades encargadas de adoptar las medidas establecidas en esta ley en materia de educación, cultura, deporte y trabajo serán responsables del efectivo cumplimiento de lo aquí establecido. </w:t>
      </w:r>
    </w:p>
    <w:p w14:paraId="28C7A1A8" w14:textId="77777777" w:rsidR="00E80709" w:rsidRPr="001D3991" w:rsidRDefault="00E80709" w:rsidP="00E80709">
      <w:pPr>
        <w:pStyle w:val="Sinespaciado"/>
        <w:jc w:val="both"/>
        <w:rPr>
          <w:rFonts w:ascii="Arial" w:hAnsi="Arial" w:cs="Arial"/>
        </w:rPr>
      </w:pPr>
    </w:p>
    <w:p w14:paraId="0D91855F" w14:textId="77777777" w:rsidR="00E80709" w:rsidRPr="00E80709" w:rsidRDefault="00E80709" w:rsidP="00E80709">
      <w:pPr>
        <w:pStyle w:val="Sinespaciado"/>
        <w:jc w:val="both"/>
        <w:rPr>
          <w:rFonts w:ascii="Arial" w:hAnsi="Arial" w:cs="Arial"/>
        </w:rPr>
      </w:pPr>
      <w:r w:rsidRPr="001D3991">
        <w:rPr>
          <w:rFonts w:ascii="Arial" w:hAnsi="Arial" w:cs="Arial"/>
          <w:b/>
        </w:rPr>
        <w:t>Parágrafo.</w:t>
      </w:r>
      <w:r w:rsidRPr="001D3991">
        <w:rPr>
          <w:rFonts w:ascii="Arial" w:hAnsi="Arial" w:cs="Arial"/>
        </w:rPr>
        <w:t xml:space="preserve"> El Instituto Colombiano de Bienestar Familiar (ICBF), en coordinación con el Sistema Nacional de Coordinación de Responsabilidad Penal para Adolescentes, cuando se trate de las personas que estén vinculadas al Sistema de Responsabilidad Penal para Adolescentes, estará a cargo del seguimiento de la estrategia con las entidades responsables, a través de un Plan de Acción que deberá ser elaborado por el Comité Ejecutivo del Sistema Nacional de Bienestar Familiar y el Comité Técnico del SNCRPA en un plazo no mayor a seis (6) meses a partir de la promulgación de la presente Ley.</w:t>
      </w:r>
      <w:r w:rsidRPr="00E80709">
        <w:rPr>
          <w:rFonts w:ascii="Arial" w:hAnsi="Arial" w:cs="Arial"/>
        </w:rPr>
        <w:t xml:space="preserve">  </w:t>
      </w:r>
    </w:p>
    <w:p w14:paraId="22B65119" w14:textId="77777777" w:rsidR="00E80709" w:rsidRPr="00E80709" w:rsidRDefault="00E80709" w:rsidP="00E80709">
      <w:pPr>
        <w:pStyle w:val="Sinespaciado"/>
        <w:rPr>
          <w:rFonts w:ascii="Arial" w:hAnsi="Arial" w:cs="Arial"/>
        </w:rPr>
      </w:pPr>
    </w:p>
    <w:p w14:paraId="4751FFC7" w14:textId="77777777" w:rsidR="00E80709" w:rsidRPr="00E80709" w:rsidRDefault="00E80709" w:rsidP="00E80709">
      <w:pPr>
        <w:pStyle w:val="Sinespaciado"/>
        <w:jc w:val="center"/>
        <w:rPr>
          <w:rFonts w:ascii="Arial" w:hAnsi="Arial" w:cs="Arial"/>
          <w:b/>
        </w:rPr>
      </w:pPr>
      <w:r w:rsidRPr="00E80709">
        <w:rPr>
          <w:rFonts w:ascii="Arial" w:hAnsi="Arial" w:cs="Arial"/>
          <w:b/>
        </w:rPr>
        <w:t>TÍTULO II</w:t>
      </w:r>
    </w:p>
    <w:p w14:paraId="2FCE4B03" w14:textId="77777777" w:rsidR="00E80709" w:rsidRPr="00E80709" w:rsidRDefault="00E80709" w:rsidP="00E80709">
      <w:pPr>
        <w:pStyle w:val="Sinespaciado"/>
        <w:jc w:val="center"/>
        <w:rPr>
          <w:rFonts w:ascii="Arial" w:eastAsia="Arial" w:hAnsi="Arial" w:cs="Arial"/>
          <w:b/>
          <w:color w:val="000000"/>
        </w:rPr>
      </w:pPr>
      <w:r w:rsidRPr="00E80709">
        <w:rPr>
          <w:rFonts w:ascii="Arial" w:eastAsia="Arial" w:hAnsi="Arial" w:cs="Arial"/>
          <w:b/>
          <w:color w:val="000000"/>
        </w:rPr>
        <w:t>DE LAS MEDIDAS NECESARIAS PARA CONSOLIDAR EL PROYECTO DE VIDA DE LAS PERSONAS QUE SE ENCUENTRAN BAJO</w:t>
      </w:r>
    </w:p>
    <w:p w14:paraId="18208424" w14:textId="77777777" w:rsidR="00E80709" w:rsidRPr="00E80709" w:rsidRDefault="00E80709" w:rsidP="00E80709">
      <w:pPr>
        <w:pStyle w:val="Sinespaciado"/>
        <w:jc w:val="center"/>
        <w:rPr>
          <w:rFonts w:ascii="Arial" w:eastAsia="Arial" w:hAnsi="Arial" w:cs="Arial"/>
          <w:b/>
          <w:color w:val="000000"/>
        </w:rPr>
      </w:pPr>
      <w:r w:rsidRPr="00E80709">
        <w:rPr>
          <w:rFonts w:ascii="Arial" w:eastAsia="Arial" w:hAnsi="Arial" w:cs="Arial"/>
          <w:b/>
          <w:color w:val="000000"/>
        </w:rPr>
        <w:t>PROTECCIÓN DEL ICBF</w:t>
      </w:r>
    </w:p>
    <w:p w14:paraId="327A0895" w14:textId="77777777" w:rsidR="00E80709" w:rsidRPr="00E80709" w:rsidRDefault="00E80709" w:rsidP="00E80709">
      <w:pPr>
        <w:pStyle w:val="Sinespaciado"/>
        <w:jc w:val="center"/>
        <w:rPr>
          <w:rFonts w:ascii="Arial" w:eastAsia="Arial" w:hAnsi="Arial" w:cs="Arial"/>
          <w:b/>
          <w:color w:val="000000"/>
        </w:rPr>
      </w:pPr>
    </w:p>
    <w:p w14:paraId="0EA81C1E" w14:textId="77777777" w:rsidR="00E80709" w:rsidRPr="00E80709" w:rsidRDefault="00E80709" w:rsidP="00E80709">
      <w:pPr>
        <w:pStyle w:val="Sinespaciado"/>
        <w:jc w:val="center"/>
        <w:rPr>
          <w:rFonts w:ascii="Arial" w:eastAsia="Arial" w:hAnsi="Arial" w:cs="Arial"/>
          <w:b/>
          <w:color w:val="000000"/>
        </w:rPr>
      </w:pPr>
      <w:r w:rsidRPr="00E80709">
        <w:rPr>
          <w:rFonts w:ascii="Arial" w:eastAsia="Arial" w:hAnsi="Arial" w:cs="Arial"/>
          <w:b/>
          <w:color w:val="000000"/>
        </w:rPr>
        <w:t>CAPITULO I</w:t>
      </w:r>
    </w:p>
    <w:p w14:paraId="624B5229" w14:textId="77777777" w:rsidR="00E80709" w:rsidRPr="00E80709" w:rsidRDefault="00E80709" w:rsidP="00E80709">
      <w:pPr>
        <w:pStyle w:val="Sinespaciado"/>
        <w:jc w:val="center"/>
        <w:rPr>
          <w:rFonts w:ascii="Arial" w:eastAsia="Arial" w:hAnsi="Arial" w:cs="Arial"/>
          <w:b/>
          <w:color w:val="000000"/>
        </w:rPr>
      </w:pPr>
      <w:r w:rsidRPr="00E80709">
        <w:rPr>
          <w:rFonts w:ascii="Arial" w:eastAsia="Arial" w:hAnsi="Arial" w:cs="Arial"/>
          <w:b/>
          <w:color w:val="000000"/>
        </w:rPr>
        <w:t>DISPOSICIONES EN MATERIA DE EDUCACIÓN, CULTURA,</w:t>
      </w:r>
    </w:p>
    <w:p w14:paraId="7E9BCFA0" w14:textId="77777777" w:rsidR="00E80709" w:rsidRPr="00E80709" w:rsidRDefault="00E80709" w:rsidP="00E80709">
      <w:pPr>
        <w:pStyle w:val="Sinespaciado"/>
        <w:jc w:val="center"/>
        <w:rPr>
          <w:rFonts w:ascii="Arial" w:eastAsia="Arial" w:hAnsi="Arial" w:cs="Arial"/>
          <w:b/>
          <w:color w:val="000000"/>
        </w:rPr>
      </w:pPr>
      <w:r w:rsidRPr="00E80709">
        <w:rPr>
          <w:rFonts w:ascii="Arial" w:eastAsia="Arial" w:hAnsi="Arial" w:cs="Arial"/>
          <w:b/>
          <w:color w:val="000000"/>
        </w:rPr>
        <w:t>RECREACIÓN Y DEPORTE</w:t>
      </w:r>
    </w:p>
    <w:p w14:paraId="52EA0293" w14:textId="77777777" w:rsidR="00E80709" w:rsidRDefault="00E80709" w:rsidP="00E80709">
      <w:pPr>
        <w:pBdr>
          <w:top w:val="nil"/>
          <w:left w:val="nil"/>
          <w:bottom w:val="nil"/>
          <w:right w:val="nil"/>
          <w:between w:val="nil"/>
        </w:pBdr>
        <w:spacing w:after="0" w:line="240" w:lineRule="auto"/>
        <w:jc w:val="both"/>
        <w:rPr>
          <w:rFonts w:ascii="Arial" w:eastAsia="Arial" w:hAnsi="Arial" w:cs="Arial"/>
          <w:color w:val="000000"/>
        </w:rPr>
      </w:pPr>
    </w:p>
    <w:p w14:paraId="767199AA" w14:textId="77777777" w:rsidR="00E80709" w:rsidRPr="00E80709" w:rsidRDefault="00E80709" w:rsidP="00E80709">
      <w:pPr>
        <w:pStyle w:val="Sinespaciado"/>
        <w:jc w:val="both"/>
        <w:rPr>
          <w:rFonts w:ascii="Arial" w:hAnsi="Arial" w:cs="Arial"/>
        </w:rPr>
      </w:pPr>
      <w:r w:rsidRPr="00E80709">
        <w:rPr>
          <w:rFonts w:ascii="Arial" w:hAnsi="Arial" w:cs="Arial"/>
          <w:b/>
        </w:rPr>
        <w:t>Artículo 5. Del Fondo Especial de Educación</w:t>
      </w:r>
      <w:r w:rsidRPr="00E80709">
        <w:rPr>
          <w:rFonts w:ascii="Arial" w:hAnsi="Arial" w:cs="Arial"/>
        </w:rPr>
        <w:t xml:space="preserve">. El fondo especial de ayudas educativas, administrado por el Icetex, está orientado a garantizar el acceso a la educación superior o estudios para el trabajo y desarrollo humano de la población beneficiaria, objeto de esta ley, que cumpla con los requisitos establecidos y manifieste su intención de continuar con estos niveles de educación.  El fondo deberá asumir el 100% del valor de la matrícula, además del sostenimiento y materiales de estudio, de acuerdo con los montos, siempre y cuando se cumplan los requisitos establecidos en los lineamientos técnicos del Instituto Colombiano de Bienestar Familiar (ICBF); de conformidad con los recursos que priorice el Ministerio de Educación Nacional y el Instituto Colombiano de Bienestar Familiar (ICBF), dentro de la trasferencia que realice al Icetex y siempre que los recursos de financiación sean consistentes con el Marco de Gasto del Sector. </w:t>
      </w:r>
    </w:p>
    <w:p w14:paraId="7F210DE8" w14:textId="77777777" w:rsidR="00E80709" w:rsidRPr="00E80709" w:rsidRDefault="00E80709" w:rsidP="00E80709">
      <w:pPr>
        <w:pStyle w:val="Sinespaciado"/>
        <w:jc w:val="both"/>
        <w:rPr>
          <w:rFonts w:ascii="Arial" w:hAnsi="Arial" w:cs="Arial"/>
        </w:rPr>
      </w:pPr>
    </w:p>
    <w:p w14:paraId="321F86ED" w14:textId="77777777" w:rsidR="00E80709" w:rsidRPr="00E80709" w:rsidRDefault="00E80709" w:rsidP="00E80709">
      <w:pPr>
        <w:pStyle w:val="Sinespaciado"/>
        <w:jc w:val="both"/>
        <w:rPr>
          <w:rFonts w:ascii="Arial" w:hAnsi="Arial" w:cs="Arial"/>
        </w:rPr>
      </w:pPr>
      <w:r w:rsidRPr="00E80709">
        <w:rPr>
          <w:rFonts w:ascii="Arial" w:hAnsi="Arial" w:cs="Arial"/>
          <w:b/>
        </w:rPr>
        <w:t>Parágrafo 1.</w:t>
      </w:r>
      <w:r w:rsidRPr="00E80709">
        <w:rPr>
          <w:rFonts w:ascii="Arial" w:hAnsi="Arial" w:cs="Arial"/>
        </w:rPr>
        <w:t xml:space="preserve"> Los recursos del Fondo Especial, de que trata este artículo, no podrán ser destinados para fines distintos a los establecidos en la presente Ley. </w:t>
      </w:r>
    </w:p>
    <w:p w14:paraId="7E87FF7F" w14:textId="77777777" w:rsidR="00E80709" w:rsidRPr="00E80709" w:rsidRDefault="00E80709" w:rsidP="00E80709">
      <w:pPr>
        <w:pStyle w:val="Sinespaciado"/>
        <w:jc w:val="both"/>
        <w:rPr>
          <w:rFonts w:ascii="Arial" w:hAnsi="Arial" w:cs="Arial"/>
        </w:rPr>
      </w:pPr>
    </w:p>
    <w:p w14:paraId="42619D54" w14:textId="77777777" w:rsidR="00E80709" w:rsidRPr="00E80709" w:rsidRDefault="00E80709" w:rsidP="00E80709">
      <w:pPr>
        <w:pStyle w:val="Sinespaciado"/>
        <w:jc w:val="both"/>
        <w:rPr>
          <w:rFonts w:ascii="Arial" w:hAnsi="Arial" w:cs="Arial"/>
          <w:color w:val="000000"/>
        </w:rPr>
      </w:pPr>
      <w:r w:rsidRPr="00E80709">
        <w:rPr>
          <w:rFonts w:ascii="Arial" w:hAnsi="Arial" w:cs="Arial"/>
          <w:b/>
          <w:color w:val="000000"/>
        </w:rPr>
        <w:lastRenderedPageBreak/>
        <w:t>Parágrafo 2.</w:t>
      </w:r>
      <w:r w:rsidRPr="00E80709">
        <w:rPr>
          <w:rFonts w:ascii="Arial" w:hAnsi="Arial" w:cs="Arial"/>
          <w:color w:val="000000"/>
        </w:rPr>
        <w:t xml:space="preserve"> La intención de continuar con los niveles de educación deberá ser manifestada por el beneficiario a través de escrito dirigido al Fondo Especial de Educación.</w:t>
      </w:r>
    </w:p>
    <w:p w14:paraId="35DD7276" w14:textId="77777777" w:rsidR="00E80709" w:rsidRPr="00E80709" w:rsidRDefault="00E80709" w:rsidP="00E80709">
      <w:pPr>
        <w:pStyle w:val="Sinespaciado"/>
        <w:jc w:val="both"/>
        <w:rPr>
          <w:rFonts w:ascii="Arial" w:hAnsi="Arial" w:cs="Arial"/>
          <w:color w:val="000000"/>
        </w:rPr>
      </w:pPr>
    </w:p>
    <w:p w14:paraId="0B7CF5A2" w14:textId="77777777" w:rsidR="00E80709" w:rsidRPr="00E80709" w:rsidRDefault="00E80709" w:rsidP="00E80709">
      <w:pPr>
        <w:pStyle w:val="Sinespaciado"/>
        <w:jc w:val="both"/>
        <w:rPr>
          <w:rFonts w:ascii="Arial" w:hAnsi="Arial" w:cs="Arial"/>
          <w:color w:val="000000"/>
        </w:rPr>
      </w:pPr>
      <w:r w:rsidRPr="00E80709">
        <w:rPr>
          <w:rFonts w:ascii="Arial" w:hAnsi="Arial" w:cs="Arial"/>
          <w:b/>
          <w:color w:val="000000"/>
        </w:rPr>
        <w:t xml:space="preserve">Parágrafo 3. </w:t>
      </w:r>
      <w:r w:rsidRPr="00E80709">
        <w:rPr>
          <w:rFonts w:ascii="Arial" w:hAnsi="Arial" w:cs="Arial"/>
          <w:color w:val="000000"/>
        </w:rPr>
        <w:t>El beneficio del fondo especial de ayudas educativas será otorgado para cursar una (1) sola carrera de educación superior en la modalidad de pregrado.</w:t>
      </w:r>
    </w:p>
    <w:p w14:paraId="53E7F662" w14:textId="77777777" w:rsidR="00E80709" w:rsidRPr="00E80709" w:rsidRDefault="00E80709" w:rsidP="00E80709">
      <w:pPr>
        <w:pStyle w:val="Sinespaciado"/>
        <w:jc w:val="both"/>
        <w:rPr>
          <w:rFonts w:ascii="Arial" w:hAnsi="Arial" w:cs="Arial"/>
          <w:color w:val="000000"/>
        </w:rPr>
      </w:pPr>
    </w:p>
    <w:p w14:paraId="350A990B" w14:textId="7D132097" w:rsidR="00E80709" w:rsidRPr="00E80709" w:rsidRDefault="00E80709" w:rsidP="00E80709">
      <w:pPr>
        <w:pStyle w:val="Sinespaciado"/>
        <w:jc w:val="both"/>
        <w:rPr>
          <w:rFonts w:ascii="Arial" w:hAnsi="Arial" w:cs="Arial"/>
          <w:b/>
          <w:color w:val="000000"/>
        </w:rPr>
      </w:pPr>
      <w:r w:rsidRPr="00E80709">
        <w:rPr>
          <w:rFonts w:ascii="Arial" w:hAnsi="Arial" w:cs="Arial"/>
          <w:b/>
          <w:color w:val="000000"/>
        </w:rPr>
        <w:t xml:space="preserve">Artículo 6. Recursos del Fondo Especial de Educación.  </w:t>
      </w:r>
      <w:r w:rsidRPr="00E80709">
        <w:rPr>
          <w:rFonts w:ascii="Arial" w:hAnsi="Arial" w:cs="Arial"/>
          <w:color w:val="000000"/>
        </w:rPr>
        <w:t xml:space="preserve">El fondo del que trata el artículo 5 de la presente ley operará con recursos que priorice el Ministerio de Educación Nacional y el Instituto Colombiano de Bienestar Familiar Nacional. Este Fondo podrá recibir aportes de personas naturales o jurídicas, entidades territoriales y de los cooperantes internacionales que así lo dispongan.  </w:t>
      </w:r>
    </w:p>
    <w:p w14:paraId="729E16DB" w14:textId="77777777" w:rsidR="00E80709" w:rsidRPr="00E80709" w:rsidRDefault="00E80709" w:rsidP="00E80709">
      <w:pPr>
        <w:pStyle w:val="Sinespaciado"/>
        <w:jc w:val="both"/>
        <w:rPr>
          <w:rFonts w:ascii="Arial" w:hAnsi="Arial" w:cs="Arial"/>
          <w:b/>
          <w:color w:val="000000"/>
        </w:rPr>
      </w:pPr>
    </w:p>
    <w:p w14:paraId="35DFC3EC" w14:textId="77777777" w:rsidR="00E80709" w:rsidRPr="00E80709" w:rsidRDefault="00E80709" w:rsidP="00E80709">
      <w:pPr>
        <w:pStyle w:val="Sinespaciado"/>
        <w:jc w:val="both"/>
        <w:rPr>
          <w:rFonts w:ascii="Arial" w:hAnsi="Arial" w:cs="Arial"/>
          <w:b/>
          <w:color w:val="000000"/>
        </w:rPr>
      </w:pPr>
      <w:r w:rsidRPr="00E80709">
        <w:rPr>
          <w:rFonts w:ascii="Arial" w:hAnsi="Arial" w:cs="Arial"/>
          <w:b/>
          <w:color w:val="000000"/>
        </w:rPr>
        <w:t xml:space="preserve">Parágrafo 1. </w:t>
      </w:r>
      <w:r w:rsidRPr="00E80709">
        <w:rPr>
          <w:rFonts w:ascii="Arial" w:hAnsi="Arial" w:cs="Arial"/>
          <w:color w:val="000000"/>
        </w:rPr>
        <w:t>El Icetex, en calidad de administrador del fondo, suscribirá el respectivo convenio con el Ministerio de Educación Nacional y el instituto Colombiano de Bienestar Familiar, en el que las dos partes establecerán el respectivo Reglamento Operativo del Fondo a administrar. En el reglamento Operativo del Fondo deberán quedar plasmados los requisitos que deben cumplirse para adquirir la calidad de beneficiario de la estrategia educativa.</w:t>
      </w:r>
    </w:p>
    <w:p w14:paraId="646C1205" w14:textId="77777777" w:rsidR="00E80709" w:rsidRPr="00E80709" w:rsidRDefault="00E80709" w:rsidP="00E80709">
      <w:pPr>
        <w:pStyle w:val="Sinespaciado"/>
        <w:jc w:val="both"/>
        <w:rPr>
          <w:rFonts w:ascii="Arial" w:hAnsi="Arial" w:cs="Arial"/>
          <w:b/>
          <w:color w:val="000000"/>
        </w:rPr>
      </w:pPr>
    </w:p>
    <w:p w14:paraId="20FC2921" w14:textId="77777777" w:rsidR="00E80709" w:rsidRPr="00E80709" w:rsidRDefault="00E80709" w:rsidP="00E80709">
      <w:pPr>
        <w:pStyle w:val="Sinespaciado"/>
        <w:jc w:val="both"/>
        <w:rPr>
          <w:rFonts w:ascii="Arial" w:hAnsi="Arial" w:cs="Arial"/>
          <w:color w:val="000000"/>
        </w:rPr>
      </w:pPr>
      <w:r w:rsidRPr="00E80709">
        <w:rPr>
          <w:rFonts w:ascii="Arial" w:hAnsi="Arial" w:cs="Arial"/>
          <w:b/>
          <w:color w:val="000000"/>
        </w:rPr>
        <w:t xml:space="preserve">Parágrafo 2. </w:t>
      </w:r>
      <w:r w:rsidRPr="00E80709">
        <w:rPr>
          <w:rFonts w:ascii="Arial" w:hAnsi="Arial" w:cs="Arial"/>
          <w:color w:val="000000"/>
        </w:rPr>
        <w:t>El acceso a las instituciones de educación superior se sujetará a los procesos de admisiones establecidos en cada una de ellas, incluyendo la posibilidad de crear grupos especiales para la población objeto de la presente ley</w:t>
      </w:r>
    </w:p>
    <w:p w14:paraId="04C28C44" w14:textId="77777777" w:rsidR="00E80709" w:rsidRPr="00E80709" w:rsidRDefault="00E80709" w:rsidP="00E80709">
      <w:pPr>
        <w:pStyle w:val="Sinespaciado"/>
        <w:jc w:val="both"/>
        <w:rPr>
          <w:rFonts w:ascii="Arial" w:hAnsi="Arial" w:cs="Arial"/>
          <w:b/>
          <w:color w:val="000000"/>
        </w:rPr>
      </w:pPr>
    </w:p>
    <w:p w14:paraId="368BC5CD" w14:textId="77777777" w:rsidR="00E80709" w:rsidRPr="00E80709" w:rsidRDefault="00E80709" w:rsidP="00E80709">
      <w:pPr>
        <w:pStyle w:val="Sinespaciado"/>
        <w:jc w:val="both"/>
        <w:rPr>
          <w:rFonts w:ascii="Arial" w:hAnsi="Arial" w:cs="Arial"/>
          <w:color w:val="000000"/>
        </w:rPr>
      </w:pPr>
      <w:r w:rsidRPr="00E80709">
        <w:rPr>
          <w:rFonts w:ascii="Arial" w:hAnsi="Arial" w:cs="Arial"/>
          <w:b/>
          <w:color w:val="000000"/>
        </w:rPr>
        <w:t xml:space="preserve">Parágrafo 3. </w:t>
      </w:r>
      <w:r w:rsidRPr="00E80709">
        <w:rPr>
          <w:rFonts w:ascii="Arial" w:hAnsi="Arial" w:cs="Arial"/>
          <w:color w:val="000000"/>
        </w:rPr>
        <w:t>Los jóvenes que hubieran ingresado al Sistema de Responsabilidad Penal para Adolescentes (SRPA) siendo menores de edad y que hayan iniciado sus carreras de educación superior en fase de pregrado o estudios para el trabajo y desarrollo humano, encontrándose bajo medida privativa de libertad y que hayan cumplido el término de la misma, tendrán el beneficio establecido en el artículo 10 de la presente ley, siempre que hayan iniciado sus carreras en el marco de la estrategia a cargo del ICBF y que cumplan los requisitos de esta.</w:t>
      </w:r>
    </w:p>
    <w:p w14:paraId="2B300CAF" w14:textId="77777777" w:rsidR="00E80709" w:rsidRPr="00E80709" w:rsidRDefault="00E80709" w:rsidP="00E80709">
      <w:pPr>
        <w:pStyle w:val="Sinespaciado"/>
        <w:jc w:val="both"/>
        <w:rPr>
          <w:rFonts w:ascii="Arial" w:hAnsi="Arial" w:cs="Arial"/>
          <w:color w:val="000000"/>
        </w:rPr>
      </w:pPr>
    </w:p>
    <w:p w14:paraId="409DCF01" w14:textId="142A86F3" w:rsidR="00E80709" w:rsidRDefault="00E80709" w:rsidP="00E80709">
      <w:pPr>
        <w:pStyle w:val="Sinespaciado"/>
        <w:jc w:val="both"/>
        <w:rPr>
          <w:rFonts w:ascii="Arial" w:hAnsi="Arial" w:cs="Arial"/>
          <w:color w:val="000000"/>
        </w:rPr>
      </w:pPr>
      <w:r w:rsidRPr="00E80709">
        <w:rPr>
          <w:rFonts w:ascii="Arial" w:hAnsi="Arial" w:cs="Arial"/>
          <w:b/>
          <w:color w:val="000000"/>
        </w:rPr>
        <w:t xml:space="preserve">Parágrafo 4. </w:t>
      </w:r>
      <w:r w:rsidRPr="00E80709">
        <w:rPr>
          <w:rFonts w:ascii="Arial" w:hAnsi="Arial" w:cs="Arial"/>
          <w:color w:val="000000"/>
        </w:rPr>
        <w:t>El Ministerio de educación deberá garantizar un porcentaje mínimo anual para el mantenimiento del Fondo Especial de Educación. El incremento anual de dicho presupuesto no podrá estar por debajo del IPC anual.</w:t>
      </w:r>
    </w:p>
    <w:p w14:paraId="3E87DC16" w14:textId="77777777" w:rsidR="00E80709" w:rsidRPr="00E80709" w:rsidRDefault="00E80709" w:rsidP="00E80709">
      <w:pPr>
        <w:pStyle w:val="Sinespaciado"/>
        <w:jc w:val="both"/>
        <w:rPr>
          <w:rFonts w:ascii="Arial" w:hAnsi="Arial" w:cs="Arial"/>
          <w:color w:val="000000"/>
        </w:rPr>
      </w:pPr>
    </w:p>
    <w:p w14:paraId="679462C7" w14:textId="2CCFD9B4" w:rsidR="0093226D" w:rsidRPr="0093226D" w:rsidRDefault="0093226D" w:rsidP="00E80709">
      <w:pPr>
        <w:pStyle w:val="Sinespaciado"/>
        <w:jc w:val="both"/>
        <w:rPr>
          <w:rFonts w:ascii="Arial" w:hAnsi="Arial" w:cs="Arial"/>
          <w:b/>
          <w:color w:val="000000"/>
        </w:rPr>
      </w:pPr>
      <w:r w:rsidRPr="0093226D">
        <w:rPr>
          <w:rFonts w:ascii="Arial" w:hAnsi="Arial" w:cs="Arial"/>
          <w:b/>
          <w:color w:val="000000"/>
        </w:rPr>
        <w:t>Artículo 7. Educación para el desarrollo del proyecto de vida</w:t>
      </w:r>
      <w:r w:rsidR="00E80709" w:rsidRPr="0093226D">
        <w:rPr>
          <w:rFonts w:ascii="Arial" w:hAnsi="Arial" w:cs="Arial"/>
          <w:b/>
          <w:color w:val="000000"/>
        </w:rPr>
        <w:t xml:space="preserve">. </w:t>
      </w:r>
      <w:r w:rsidRPr="0093226D">
        <w:rPr>
          <w:rFonts w:ascii="Arial" w:hAnsi="Arial" w:cs="Arial"/>
          <w:color w:val="000000"/>
        </w:rPr>
        <w:t>El ministerio de Educación en coordinación con el ICBF establecerá mecanismos y programas para disminuir la deserción escolar de los beneficiarios de esta ley. Así como mecanismos y programas para el acceso a las instituciones de educación superior públicas.</w:t>
      </w:r>
    </w:p>
    <w:p w14:paraId="501FF38E" w14:textId="77777777" w:rsidR="0093226D" w:rsidRDefault="0093226D" w:rsidP="00E80709">
      <w:pPr>
        <w:pStyle w:val="Sinespaciado"/>
        <w:jc w:val="both"/>
        <w:rPr>
          <w:rFonts w:ascii="Arial" w:hAnsi="Arial" w:cs="Arial"/>
          <w:b/>
          <w:color w:val="000000"/>
          <w:highlight w:val="yellow"/>
        </w:rPr>
      </w:pPr>
    </w:p>
    <w:p w14:paraId="011B2173" w14:textId="6A93AC2B" w:rsidR="00E80709" w:rsidRPr="0093226D" w:rsidRDefault="00E80709" w:rsidP="00E80709">
      <w:pPr>
        <w:pStyle w:val="Sinespaciado"/>
        <w:jc w:val="both"/>
        <w:rPr>
          <w:rFonts w:ascii="Arial" w:hAnsi="Arial" w:cs="Arial"/>
          <w:color w:val="000000"/>
        </w:rPr>
      </w:pPr>
      <w:r w:rsidRPr="0093226D">
        <w:rPr>
          <w:rFonts w:ascii="Arial" w:hAnsi="Arial" w:cs="Arial"/>
          <w:color w:val="000000"/>
        </w:rPr>
        <w:t xml:space="preserve">En los cupos que se habiliten para la formación que imparte el Servicio Nacional de Aprendizaje -SENA, se priorizará, facilitará y garantizará el acceso de la población beneficiaria de esta ley en todos los programas de formación </w:t>
      </w:r>
      <w:r w:rsidR="0093226D" w:rsidRPr="0093226D">
        <w:rPr>
          <w:rFonts w:ascii="Arial" w:hAnsi="Arial" w:cs="Arial"/>
          <w:color w:val="000000"/>
        </w:rPr>
        <w:t xml:space="preserve">técnica y tecnológica </w:t>
      </w:r>
      <w:r w:rsidRPr="0093226D">
        <w:rPr>
          <w:rFonts w:ascii="Arial" w:hAnsi="Arial" w:cs="Arial"/>
          <w:color w:val="000000"/>
        </w:rPr>
        <w:t xml:space="preserve">virtual y presencial que se oferten. </w:t>
      </w:r>
    </w:p>
    <w:p w14:paraId="08DEE237" w14:textId="77777777" w:rsidR="00E80709" w:rsidRPr="00D6288A" w:rsidRDefault="00E80709" w:rsidP="00E80709">
      <w:pPr>
        <w:pStyle w:val="Sinespaciado"/>
        <w:jc w:val="both"/>
        <w:rPr>
          <w:rFonts w:ascii="Arial" w:hAnsi="Arial" w:cs="Arial"/>
          <w:color w:val="000000"/>
          <w:highlight w:val="yellow"/>
        </w:rPr>
      </w:pPr>
    </w:p>
    <w:p w14:paraId="69991C9D" w14:textId="77777777" w:rsidR="00E80709" w:rsidRPr="00E80709" w:rsidRDefault="00E80709" w:rsidP="00E80709">
      <w:pPr>
        <w:pStyle w:val="Sinespaciado"/>
        <w:jc w:val="both"/>
        <w:rPr>
          <w:rFonts w:ascii="Arial" w:hAnsi="Arial" w:cs="Arial"/>
          <w:color w:val="000000"/>
        </w:rPr>
      </w:pPr>
      <w:r w:rsidRPr="0093226D">
        <w:rPr>
          <w:rFonts w:ascii="Arial" w:hAnsi="Arial" w:cs="Arial"/>
          <w:color w:val="000000"/>
        </w:rPr>
        <w:t>El Sena, en asocio con el ICBF y con el Ministerio de Educación Nacional y el Ministerio de Justicia y del Derecho, en un término máximo de seis (6) meses, posteriores a la entrada en vigencia de esta ley, diseñará y pondrá en práctica una estrategia de formación laboral con enfoque diferencial adoptada y adecuada a los perfiles de los adolescentes vinculados al SRPA.</w:t>
      </w:r>
    </w:p>
    <w:p w14:paraId="31EBA710" w14:textId="77777777" w:rsidR="00E80709" w:rsidRPr="00E80709" w:rsidRDefault="00E80709" w:rsidP="00E80709">
      <w:pPr>
        <w:pStyle w:val="Sinespaciado"/>
        <w:jc w:val="both"/>
        <w:rPr>
          <w:rFonts w:ascii="Arial" w:hAnsi="Arial" w:cs="Arial"/>
          <w:color w:val="000000"/>
        </w:rPr>
      </w:pPr>
    </w:p>
    <w:p w14:paraId="770A8978" w14:textId="33E53402" w:rsidR="00E80709" w:rsidRPr="00E80709" w:rsidRDefault="00E80709" w:rsidP="00E80709">
      <w:pPr>
        <w:pStyle w:val="Sinespaciado"/>
        <w:jc w:val="both"/>
        <w:rPr>
          <w:rFonts w:ascii="Arial" w:hAnsi="Arial" w:cs="Arial"/>
          <w:b/>
          <w:color w:val="000000"/>
        </w:rPr>
      </w:pPr>
      <w:r w:rsidRPr="00E80709">
        <w:rPr>
          <w:rFonts w:ascii="Arial" w:hAnsi="Arial" w:cs="Arial"/>
          <w:b/>
          <w:color w:val="000000"/>
        </w:rPr>
        <w:t xml:space="preserve">Artículo 8. Programas Culturales y Deportivos. </w:t>
      </w:r>
      <w:r w:rsidRPr="00E80709">
        <w:rPr>
          <w:rFonts w:ascii="Arial" w:hAnsi="Arial" w:cs="Arial"/>
          <w:color w:val="000000"/>
        </w:rPr>
        <w:t xml:space="preserve">El Ministerio de Cultura y el Ministerio del Deporte, conforme a su naturaleza jurídica y en coordinación con las entidades territoriales competentes, garantizarán el acceso y permanencia, con trato preferente a los beneficiarios de esta ley, a los programas de cultura, recreación y deporte con los que cuente el Gobierno Nacional, los distritos, departamentos y municipios, acorde con sus intereses y expectativas. Para los </w:t>
      </w:r>
      <w:r w:rsidRPr="00E80709">
        <w:rPr>
          <w:rFonts w:ascii="Arial" w:hAnsi="Arial" w:cs="Arial"/>
          <w:color w:val="000000"/>
        </w:rPr>
        <w:lastRenderedPageBreak/>
        <w:t>programas de alto rendimiento se tendrán en cuenta las características técnicas requeridas para cada programa.</w:t>
      </w:r>
    </w:p>
    <w:p w14:paraId="6A48AFC9" w14:textId="77777777" w:rsidR="00E80709" w:rsidRDefault="00E80709" w:rsidP="00E80709">
      <w:pPr>
        <w:pBdr>
          <w:top w:val="nil"/>
          <w:left w:val="nil"/>
          <w:bottom w:val="nil"/>
          <w:right w:val="nil"/>
          <w:between w:val="nil"/>
        </w:pBdr>
        <w:spacing w:after="0" w:line="240" w:lineRule="auto"/>
        <w:jc w:val="both"/>
        <w:rPr>
          <w:rFonts w:ascii="Arial" w:eastAsia="Arial" w:hAnsi="Arial" w:cs="Arial"/>
          <w:color w:val="000000"/>
        </w:rPr>
      </w:pPr>
    </w:p>
    <w:p w14:paraId="0B0EA3DE" w14:textId="77777777" w:rsidR="00E80709" w:rsidRDefault="00E80709" w:rsidP="00E8070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CAPITULO II</w:t>
      </w:r>
    </w:p>
    <w:p w14:paraId="4BB1418F" w14:textId="77777777" w:rsidR="00E80709" w:rsidRDefault="00E80709" w:rsidP="00E80709">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DISPOSICIONES EN MATERIA LABORAL Y EMPRENDIMIENTO</w:t>
      </w:r>
    </w:p>
    <w:p w14:paraId="6A2CDBFB" w14:textId="77777777" w:rsidR="00E80709" w:rsidRDefault="00E80709" w:rsidP="00E80709">
      <w:pPr>
        <w:pBdr>
          <w:top w:val="nil"/>
          <w:left w:val="nil"/>
          <w:bottom w:val="nil"/>
          <w:right w:val="nil"/>
          <w:between w:val="nil"/>
        </w:pBdr>
        <w:spacing w:after="0" w:line="240" w:lineRule="auto"/>
        <w:jc w:val="both"/>
        <w:rPr>
          <w:rFonts w:ascii="Arial" w:eastAsia="Arial" w:hAnsi="Arial" w:cs="Arial"/>
          <w:color w:val="000000"/>
        </w:rPr>
      </w:pPr>
    </w:p>
    <w:p w14:paraId="56002A36" w14:textId="77777777" w:rsidR="00E80709" w:rsidRPr="00E80709" w:rsidRDefault="00E80709" w:rsidP="00E80709">
      <w:pPr>
        <w:pStyle w:val="Sinespaciado"/>
        <w:jc w:val="both"/>
        <w:rPr>
          <w:rFonts w:ascii="Arial" w:hAnsi="Arial" w:cs="Arial"/>
        </w:rPr>
      </w:pPr>
      <w:r w:rsidRPr="00E80709">
        <w:rPr>
          <w:rFonts w:ascii="Arial" w:hAnsi="Arial" w:cs="Arial"/>
          <w:b/>
        </w:rPr>
        <w:t xml:space="preserve">Artículo 9. Programas Laborales. </w:t>
      </w:r>
      <w:r w:rsidRPr="00E80709">
        <w:rPr>
          <w:rFonts w:ascii="Arial" w:hAnsi="Arial" w:cs="Arial"/>
        </w:rPr>
        <w:t>El Ministerio de Trabajo y el Servicio Público de Empleo, garantizarán el acceso preferente de los jóvenes beneficiarios de esta ley, a los programas para el fortalecimiento de las habilidades laborales y a aquellos que brinden herramientas que faciliten su ingreso al mercado laboral, mejoren su desempeño en los sitios de trabajo y promuevan generación de sus ingresos, en concordancia con lo establecido en la Ley 1780 de 2016.</w:t>
      </w:r>
    </w:p>
    <w:p w14:paraId="5F604763" w14:textId="77777777" w:rsidR="00E80709" w:rsidRPr="00E80709" w:rsidRDefault="00E80709" w:rsidP="00E80709">
      <w:pPr>
        <w:pStyle w:val="Sinespaciado"/>
        <w:jc w:val="both"/>
        <w:rPr>
          <w:rFonts w:ascii="Arial" w:hAnsi="Arial" w:cs="Arial"/>
        </w:rPr>
      </w:pPr>
    </w:p>
    <w:p w14:paraId="0B9F7EC7" w14:textId="77777777" w:rsidR="00E80709" w:rsidRPr="00E80709" w:rsidRDefault="00E80709" w:rsidP="00E80709">
      <w:pPr>
        <w:pStyle w:val="Sinespaciado"/>
        <w:jc w:val="both"/>
        <w:rPr>
          <w:rFonts w:ascii="Arial" w:hAnsi="Arial" w:cs="Arial"/>
        </w:rPr>
      </w:pPr>
      <w:r w:rsidRPr="00E80709">
        <w:rPr>
          <w:rFonts w:ascii="Arial" w:hAnsi="Arial" w:cs="Arial"/>
          <w:b/>
        </w:rPr>
        <w:t>Parágrafo 1</w:t>
      </w:r>
      <w:r w:rsidRPr="00E80709">
        <w:rPr>
          <w:rFonts w:ascii="Arial" w:hAnsi="Arial" w:cs="Arial"/>
        </w:rPr>
        <w:t>. El Ministerio de Trabajo y el Servicio Público de Empleo deberán orientar a los jóvenes beneficiarios de esta ley, en las diferentes alternativas de generación de ideas productivas, con el fin de ser presentadas a los fondos o entidades que apoyan el emprendimiento con la consecución de una capital semilla.</w:t>
      </w:r>
    </w:p>
    <w:p w14:paraId="00CF5BA8" w14:textId="77777777" w:rsidR="00E80709" w:rsidRPr="00E80709" w:rsidRDefault="00E80709" w:rsidP="00E80709">
      <w:pPr>
        <w:pStyle w:val="Sinespaciado"/>
        <w:jc w:val="both"/>
        <w:rPr>
          <w:rFonts w:ascii="Arial" w:hAnsi="Arial" w:cs="Arial"/>
          <w:b/>
        </w:rPr>
      </w:pPr>
    </w:p>
    <w:p w14:paraId="2DFBFAD3" w14:textId="77777777" w:rsidR="00E80709" w:rsidRPr="00E80709" w:rsidRDefault="00E80709" w:rsidP="00E80709">
      <w:pPr>
        <w:pStyle w:val="Sinespaciado"/>
        <w:jc w:val="both"/>
        <w:rPr>
          <w:rFonts w:ascii="Arial" w:hAnsi="Arial" w:cs="Arial"/>
        </w:rPr>
      </w:pPr>
      <w:r w:rsidRPr="00E80709">
        <w:rPr>
          <w:rFonts w:ascii="Arial" w:hAnsi="Arial" w:cs="Arial"/>
          <w:b/>
        </w:rPr>
        <w:t>Parágrafo 2</w:t>
      </w:r>
      <w:r w:rsidRPr="00E80709">
        <w:rPr>
          <w:rFonts w:ascii="Arial" w:hAnsi="Arial" w:cs="Arial"/>
        </w:rPr>
        <w:t>. El Servicio Nacional de Aprendizaje - SENA a través del Fondo Emprender y la Agencia de Emprendimiento e Innovación - INNpulsa, o quien haga sus veces, promoverán convocatorias de emprendimiento y realizarán acompañamiento y asesoría permanente para la viabilización y financiación de las ideas de negocio o emprendimientos de los jóvenes que cumplan las características de la presente ley.</w:t>
      </w:r>
    </w:p>
    <w:p w14:paraId="36D22C5F" w14:textId="77777777" w:rsidR="00E80709" w:rsidRPr="00E80709" w:rsidRDefault="00E80709" w:rsidP="00E80709">
      <w:pPr>
        <w:pStyle w:val="Sinespaciado"/>
        <w:jc w:val="both"/>
        <w:rPr>
          <w:rFonts w:ascii="Arial" w:hAnsi="Arial" w:cs="Arial"/>
        </w:rPr>
      </w:pPr>
    </w:p>
    <w:p w14:paraId="37FD14F0" w14:textId="77777777" w:rsidR="00E80709" w:rsidRPr="00E80709" w:rsidRDefault="00E80709" w:rsidP="00E80709">
      <w:pPr>
        <w:pStyle w:val="Sinespaciado"/>
        <w:jc w:val="both"/>
        <w:rPr>
          <w:rFonts w:ascii="Arial" w:hAnsi="Arial" w:cs="Arial"/>
        </w:rPr>
      </w:pPr>
      <w:r w:rsidRPr="00E80709">
        <w:rPr>
          <w:rFonts w:ascii="Arial" w:hAnsi="Arial" w:cs="Arial"/>
        </w:rPr>
        <w:t>Para tales efectos, INNpulsa podrá generar una coordinación con los fondos del sector privado que se dediquen a financiar proyectos de emprendimiento y capital semilla.</w:t>
      </w:r>
    </w:p>
    <w:p w14:paraId="031903DF" w14:textId="77777777" w:rsidR="00E80709" w:rsidRPr="00E80709" w:rsidRDefault="00E80709" w:rsidP="00E80709">
      <w:pPr>
        <w:pStyle w:val="Sinespaciado"/>
        <w:jc w:val="both"/>
        <w:rPr>
          <w:rFonts w:ascii="Arial" w:hAnsi="Arial" w:cs="Arial"/>
        </w:rPr>
      </w:pPr>
    </w:p>
    <w:p w14:paraId="77488168" w14:textId="2A12F246" w:rsidR="00E80709" w:rsidRPr="00E80709" w:rsidRDefault="00E80709" w:rsidP="00E80709">
      <w:pPr>
        <w:pStyle w:val="Sinespaciado"/>
        <w:jc w:val="both"/>
        <w:rPr>
          <w:rFonts w:ascii="Arial" w:hAnsi="Arial" w:cs="Arial"/>
        </w:rPr>
      </w:pPr>
      <w:r w:rsidRPr="00E80709">
        <w:rPr>
          <w:rFonts w:ascii="Arial" w:hAnsi="Arial" w:cs="Arial"/>
          <w:b/>
        </w:rPr>
        <w:t>Artículo 10. Empleabilidad.</w:t>
      </w:r>
      <w:r w:rsidRPr="00E80709">
        <w:rPr>
          <w:rFonts w:ascii="Arial" w:hAnsi="Arial" w:cs="Arial"/>
        </w:rPr>
        <w:t xml:space="preserve">  El Gobierno Nacional deberá priorizar el acceso a cargos públicos, así como en el tema contractual, a los jóvenes beneficiarios de esta ley, siempre y cuando cumplan los requisitos que se requieren para el empleo al cual se postulan. Para tal efecto el Gobierno Nacional tendrá un plazo de seis (6) meses para reglamentarlo.</w:t>
      </w:r>
    </w:p>
    <w:p w14:paraId="33997562" w14:textId="77777777" w:rsidR="00E80709" w:rsidRPr="00E80709" w:rsidRDefault="00E80709" w:rsidP="00E80709">
      <w:pPr>
        <w:pStyle w:val="Sinespaciado"/>
        <w:jc w:val="both"/>
        <w:rPr>
          <w:rFonts w:ascii="Arial" w:hAnsi="Arial" w:cs="Arial"/>
          <w:b/>
        </w:rPr>
      </w:pPr>
    </w:p>
    <w:p w14:paraId="2138FB28" w14:textId="77777777" w:rsidR="00E80709" w:rsidRPr="00E80709" w:rsidRDefault="00E80709" w:rsidP="00E80709">
      <w:pPr>
        <w:pStyle w:val="Sinespaciado"/>
        <w:jc w:val="both"/>
        <w:rPr>
          <w:rFonts w:ascii="Arial" w:hAnsi="Arial" w:cs="Arial"/>
        </w:rPr>
      </w:pPr>
      <w:r w:rsidRPr="00E80709">
        <w:rPr>
          <w:rFonts w:ascii="Arial" w:hAnsi="Arial" w:cs="Arial"/>
          <w:b/>
        </w:rPr>
        <w:t xml:space="preserve">Parágrafo. </w:t>
      </w:r>
      <w:r w:rsidRPr="00E80709">
        <w:rPr>
          <w:rFonts w:ascii="Arial" w:hAnsi="Arial" w:cs="Arial"/>
        </w:rPr>
        <w:t>Las vinculaciones laborales que se realicen en virtud de la presente ley deberán ser reportadas al Instituto Colombiano de Bienestar Familiar, entidad que será la encargada de llevar el registro de los cargos con los que se beneficiaran los jóvenes egresados.</w:t>
      </w:r>
    </w:p>
    <w:p w14:paraId="2207FD1B" w14:textId="77777777" w:rsidR="00E80709" w:rsidRPr="00E80709" w:rsidRDefault="00E80709" w:rsidP="00E80709">
      <w:pPr>
        <w:pStyle w:val="Sinespaciado"/>
        <w:jc w:val="both"/>
        <w:rPr>
          <w:rFonts w:ascii="Arial" w:hAnsi="Arial" w:cs="Arial"/>
        </w:rPr>
      </w:pPr>
    </w:p>
    <w:p w14:paraId="52C5CE71" w14:textId="5674E376" w:rsidR="00E80709" w:rsidRPr="00E80709" w:rsidRDefault="00E80709" w:rsidP="00E80709">
      <w:pPr>
        <w:pStyle w:val="Sinespaciado"/>
        <w:jc w:val="both"/>
        <w:rPr>
          <w:rFonts w:ascii="Arial" w:hAnsi="Arial" w:cs="Arial"/>
        </w:rPr>
      </w:pPr>
      <w:r w:rsidRPr="001D3991">
        <w:rPr>
          <w:rFonts w:ascii="Arial" w:hAnsi="Arial" w:cs="Arial"/>
          <w:b/>
        </w:rPr>
        <w:t>Artículo 11. Emprendimiento.</w:t>
      </w:r>
      <w:r w:rsidRPr="001D3991">
        <w:rPr>
          <w:rFonts w:ascii="Arial" w:hAnsi="Arial" w:cs="Arial"/>
        </w:rPr>
        <w:t xml:space="preserve"> </w:t>
      </w:r>
      <w:r w:rsidR="00304471" w:rsidRPr="001D3991">
        <w:rPr>
          <w:rFonts w:ascii="Arial" w:hAnsi="Arial" w:cs="Arial"/>
        </w:rPr>
        <w:t xml:space="preserve">El SENA en coordinación con el ICBF, el Ministerio de Comercio Industria y </w:t>
      </w:r>
      <w:r w:rsidR="001D3991" w:rsidRPr="001D3991">
        <w:rPr>
          <w:rFonts w:ascii="Arial" w:hAnsi="Arial" w:cs="Arial"/>
        </w:rPr>
        <w:t>Turismo,</w:t>
      </w:r>
      <w:r w:rsidR="00304471" w:rsidRPr="001D3991">
        <w:rPr>
          <w:rFonts w:ascii="Arial" w:hAnsi="Arial" w:cs="Arial"/>
        </w:rPr>
        <w:t xml:space="preserve"> a través de INNpulsa o quien haga sus veces y demás entidades competentes o</w:t>
      </w:r>
      <w:r w:rsidRPr="001D3991">
        <w:rPr>
          <w:rFonts w:ascii="Arial" w:hAnsi="Arial" w:cs="Arial"/>
        </w:rPr>
        <w:t>rientar</w:t>
      </w:r>
      <w:r w:rsidR="00D01704">
        <w:rPr>
          <w:rFonts w:ascii="Arial" w:hAnsi="Arial" w:cs="Arial"/>
        </w:rPr>
        <w:t>á</w:t>
      </w:r>
      <w:r w:rsidR="00304471" w:rsidRPr="001D3991">
        <w:rPr>
          <w:rFonts w:ascii="Arial" w:hAnsi="Arial" w:cs="Arial"/>
        </w:rPr>
        <w:t>n</w:t>
      </w:r>
      <w:r w:rsidRPr="001D3991">
        <w:rPr>
          <w:rFonts w:ascii="Arial" w:hAnsi="Arial" w:cs="Arial"/>
        </w:rPr>
        <w:t xml:space="preserve"> a los jóvenes beneficiarios de esta ley, en las diferentes alternativas de generación de ideas productivas con el fin de ser presentadas a los fondos o entidades </w:t>
      </w:r>
      <w:r w:rsidR="001D3991" w:rsidRPr="001D3991">
        <w:rPr>
          <w:rFonts w:ascii="Arial" w:hAnsi="Arial" w:cs="Arial"/>
        </w:rPr>
        <w:t xml:space="preserve">públicas o privadas </w:t>
      </w:r>
      <w:r w:rsidRPr="001D3991">
        <w:rPr>
          <w:rFonts w:ascii="Arial" w:hAnsi="Arial" w:cs="Arial"/>
        </w:rPr>
        <w:t>que apoyan con la consecución de una capital semilla.</w:t>
      </w:r>
    </w:p>
    <w:p w14:paraId="098DACAE" w14:textId="77777777" w:rsidR="00E80709" w:rsidRPr="00E80709" w:rsidRDefault="00E80709" w:rsidP="00E80709">
      <w:pPr>
        <w:pStyle w:val="Sinespaciado"/>
        <w:jc w:val="both"/>
        <w:rPr>
          <w:rFonts w:ascii="Arial" w:hAnsi="Arial" w:cs="Arial"/>
        </w:rPr>
      </w:pPr>
    </w:p>
    <w:p w14:paraId="29B66177" w14:textId="54C5CD0C" w:rsidR="00E80709" w:rsidRDefault="00E80709" w:rsidP="00E80709">
      <w:pPr>
        <w:pStyle w:val="Sinespaciado"/>
        <w:jc w:val="both"/>
        <w:rPr>
          <w:rFonts w:ascii="Arial" w:hAnsi="Arial" w:cs="Arial"/>
        </w:rPr>
      </w:pPr>
      <w:r w:rsidRPr="00E80709">
        <w:rPr>
          <w:rFonts w:ascii="Arial" w:hAnsi="Arial" w:cs="Arial"/>
          <w:b/>
        </w:rPr>
        <w:t>Artículo 12. Organismos Cooperantes.</w:t>
      </w:r>
      <w:r w:rsidRPr="00E80709">
        <w:rPr>
          <w:rFonts w:ascii="Arial" w:hAnsi="Arial" w:cs="Arial"/>
        </w:rPr>
        <w:t xml:space="preserve"> Los organismos internacionales cooperantes que participen en cualquier programa o servicio del Sistema Nacional de Bienestar Familiar, podrán apoyar o patrocinar la estrategia que promueva la consolidación del proyecto de vida de los beneficiarios de esta ley que se encuentren bajo protección del Instituto Colombiano de Bienestar Familiar (ICBF).</w:t>
      </w:r>
    </w:p>
    <w:p w14:paraId="78FA1665" w14:textId="77777777" w:rsidR="00D01704" w:rsidRDefault="00D01704" w:rsidP="00E80709">
      <w:pPr>
        <w:pStyle w:val="Sinespaciado"/>
        <w:jc w:val="both"/>
        <w:rPr>
          <w:rFonts w:ascii="Arial" w:hAnsi="Arial" w:cs="Arial"/>
          <w:b/>
        </w:rPr>
      </w:pPr>
    </w:p>
    <w:p w14:paraId="229F94DF" w14:textId="2BCD2B12" w:rsidR="00E80709" w:rsidRPr="00304471" w:rsidRDefault="00E80709" w:rsidP="00E80709">
      <w:pPr>
        <w:pStyle w:val="Sinespaciado"/>
        <w:jc w:val="both"/>
        <w:rPr>
          <w:rFonts w:ascii="Arial" w:hAnsi="Arial" w:cs="Arial"/>
        </w:rPr>
      </w:pPr>
      <w:r w:rsidRPr="00304471">
        <w:rPr>
          <w:rFonts w:ascii="Arial" w:hAnsi="Arial" w:cs="Arial"/>
          <w:b/>
        </w:rPr>
        <w:t>Artículo 13. Observatorio de seguimiento de la protección a jóvenes y adolescentes que estuvieron bajo custodia del Estado.</w:t>
      </w:r>
      <w:r w:rsidRPr="00304471">
        <w:rPr>
          <w:rFonts w:ascii="Arial" w:hAnsi="Arial" w:cs="Arial"/>
        </w:rPr>
        <w:t xml:space="preserve"> Créase el Observatorio de Seguimiento</w:t>
      </w:r>
      <w:r w:rsidR="00304471" w:rsidRPr="00304471">
        <w:rPr>
          <w:rFonts w:ascii="Arial" w:hAnsi="Arial" w:cs="Arial"/>
        </w:rPr>
        <w:t xml:space="preserve"> para la protección a jóvenes y adolescentes que estuvieron bajo custodia del Estado</w:t>
      </w:r>
      <w:r w:rsidRPr="00304471">
        <w:rPr>
          <w:rFonts w:ascii="Arial" w:hAnsi="Arial" w:cs="Arial"/>
        </w:rPr>
        <w:t xml:space="preserve">, con el objetivo de recopilar la información, evaluar el impacto y elaborar propuestas de mejoramiento a la política pública de los programas establecidos en la presente Ley, a partir de la Estrategia de fortalecimiento del proyecto </w:t>
      </w:r>
      <w:r w:rsidRPr="00304471">
        <w:rPr>
          <w:rFonts w:ascii="Arial" w:hAnsi="Arial" w:cs="Arial"/>
        </w:rPr>
        <w:lastRenderedPageBreak/>
        <w:t>de vida de los jóvenes y adolescentes que estuvieron bajo custodia del Estado a través del Instituto Colombia</w:t>
      </w:r>
      <w:r w:rsidR="00304471" w:rsidRPr="00304471">
        <w:rPr>
          <w:rFonts w:ascii="Arial" w:hAnsi="Arial" w:cs="Arial"/>
        </w:rPr>
        <w:t>no de Bienestar Familiar (</w:t>
      </w:r>
      <w:r w:rsidR="00304471">
        <w:rPr>
          <w:rFonts w:ascii="Arial" w:hAnsi="Arial" w:cs="Arial"/>
        </w:rPr>
        <w:t>ICBF) objeto de la presente ley.</w:t>
      </w:r>
    </w:p>
    <w:p w14:paraId="5F1EE8EE" w14:textId="77777777" w:rsidR="00E80709" w:rsidRPr="00D6288A" w:rsidRDefault="00E80709" w:rsidP="00E80709">
      <w:pPr>
        <w:pStyle w:val="Sinespaciado"/>
        <w:jc w:val="both"/>
        <w:rPr>
          <w:rFonts w:ascii="Arial" w:hAnsi="Arial" w:cs="Arial"/>
          <w:highlight w:val="yellow"/>
        </w:rPr>
      </w:pPr>
    </w:p>
    <w:p w14:paraId="3FDADBF6" w14:textId="4C85344D" w:rsidR="00E80709" w:rsidRDefault="00E80709" w:rsidP="00E80709">
      <w:pPr>
        <w:pStyle w:val="Sinespaciado"/>
        <w:jc w:val="both"/>
        <w:rPr>
          <w:rFonts w:ascii="Arial" w:hAnsi="Arial" w:cs="Arial"/>
        </w:rPr>
      </w:pPr>
      <w:r w:rsidRPr="00304471">
        <w:rPr>
          <w:rFonts w:ascii="Arial" w:hAnsi="Arial" w:cs="Arial"/>
          <w:b/>
        </w:rPr>
        <w:t>Parágrafo</w:t>
      </w:r>
      <w:r w:rsidR="00FF6A35" w:rsidRPr="00304471">
        <w:rPr>
          <w:rFonts w:ascii="Arial" w:hAnsi="Arial" w:cs="Arial"/>
          <w:b/>
        </w:rPr>
        <w:t xml:space="preserve"> 1</w:t>
      </w:r>
      <w:r w:rsidRPr="00304471">
        <w:rPr>
          <w:rFonts w:ascii="Arial" w:hAnsi="Arial" w:cs="Arial"/>
          <w:b/>
        </w:rPr>
        <w:t xml:space="preserve">. </w:t>
      </w:r>
      <w:r w:rsidRPr="00304471">
        <w:rPr>
          <w:rFonts w:ascii="Arial" w:hAnsi="Arial" w:cs="Arial"/>
        </w:rPr>
        <w:t>El Instituto Colombiano de Bienestar Familiar (ICBF) reglamentará el funcionamiento y los demás aspectos necesarios para la puesta en marcha del Observatorio, en un plazo máximo de seis (6) meses contados a partir de la entrada en vigencia de la presente ley.</w:t>
      </w:r>
    </w:p>
    <w:p w14:paraId="5F3DA2DD" w14:textId="5A9DD499" w:rsidR="00FF6A35" w:rsidRDefault="00FF6A35" w:rsidP="00E80709">
      <w:pPr>
        <w:pStyle w:val="Sinespaciado"/>
        <w:jc w:val="both"/>
        <w:rPr>
          <w:rFonts w:ascii="Arial" w:hAnsi="Arial" w:cs="Arial"/>
        </w:rPr>
      </w:pPr>
    </w:p>
    <w:p w14:paraId="73F1DA07" w14:textId="20888A8E" w:rsidR="00FF6A35" w:rsidRPr="00E80709" w:rsidRDefault="00FF6A35" w:rsidP="00E80709">
      <w:pPr>
        <w:pStyle w:val="Sinespaciado"/>
        <w:jc w:val="both"/>
        <w:rPr>
          <w:rFonts w:ascii="Arial" w:hAnsi="Arial" w:cs="Arial"/>
        </w:rPr>
      </w:pPr>
      <w:r w:rsidRPr="00FF6A35">
        <w:rPr>
          <w:rFonts w:ascii="Arial" w:hAnsi="Arial" w:cs="Arial"/>
          <w:b/>
        </w:rPr>
        <w:t>Parágrafo 2.</w:t>
      </w:r>
      <w:r>
        <w:rPr>
          <w:rFonts w:ascii="Arial" w:hAnsi="Arial" w:cs="Arial"/>
        </w:rPr>
        <w:t xml:space="preserve"> El observatorio de seguimiento de la protección a jóvenes y adolescentes que estuvieron bajo custodia del Estado deberá entregar un informe anual a las comisiones séptimas permanentes del Congreso de la Republica sobre los avances en la implementación de los programas establecidos en la presente ley. </w:t>
      </w:r>
    </w:p>
    <w:p w14:paraId="4A353C9D" w14:textId="77777777" w:rsidR="00E80709" w:rsidRPr="00E80709" w:rsidRDefault="00E80709" w:rsidP="00E80709">
      <w:pPr>
        <w:pStyle w:val="Sinespaciado"/>
        <w:jc w:val="both"/>
        <w:rPr>
          <w:rFonts w:ascii="Arial" w:hAnsi="Arial" w:cs="Arial"/>
        </w:rPr>
      </w:pPr>
    </w:p>
    <w:p w14:paraId="35D3DB7C" w14:textId="5D47045A" w:rsidR="00E80709" w:rsidRDefault="00E80709" w:rsidP="00E80709">
      <w:pPr>
        <w:pStyle w:val="Sinespaciado"/>
        <w:jc w:val="both"/>
        <w:rPr>
          <w:rFonts w:ascii="Arial" w:hAnsi="Arial" w:cs="Arial"/>
        </w:rPr>
      </w:pPr>
      <w:r w:rsidRPr="00E80709">
        <w:rPr>
          <w:rFonts w:ascii="Arial" w:hAnsi="Arial" w:cs="Arial"/>
          <w:b/>
        </w:rPr>
        <w:t xml:space="preserve">Artículo 14. Vigencia y Derogatorias. </w:t>
      </w:r>
      <w:r w:rsidRPr="00E80709">
        <w:rPr>
          <w:rFonts w:ascii="Arial" w:hAnsi="Arial" w:cs="Arial"/>
        </w:rPr>
        <w:t>Esta ley rige a partir de su publicación y deroga las normas que le sean contrarias.</w:t>
      </w:r>
    </w:p>
    <w:p w14:paraId="087ECC69" w14:textId="03749836" w:rsidR="00D01704" w:rsidRDefault="00D01704" w:rsidP="00E80709">
      <w:pPr>
        <w:pStyle w:val="Sinespaciado"/>
        <w:jc w:val="both"/>
        <w:rPr>
          <w:rFonts w:ascii="Arial" w:hAnsi="Arial" w:cs="Arial"/>
        </w:rPr>
      </w:pPr>
    </w:p>
    <w:p w14:paraId="2B000EB5" w14:textId="3C410D58" w:rsidR="00D01704" w:rsidRDefault="00D01704" w:rsidP="00E80709">
      <w:pPr>
        <w:pStyle w:val="Sinespaciado"/>
        <w:jc w:val="both"/>
        <w:rPr>
          <w:rFonts w:ascii="Arial" w:hAnsi="Arial" w:cs="Arial"/>
        </w:rPr>
      </w:pPr>
    </w:p>
    <w:p w14:paraId="26A9CFC6" w14:textId="5B949A7F" w:rsidR="00D01704" w:rsidRDefault="00D01704" w:rsidP="00E80709">
      <w:pPr>
        <w:pStyle w:val="Sinespaciado"/>
        <w:jc w:val="both"/>
        <w:rPr>
          <w:rFonts w:ascii="Arial" w:hAnsi="Arial" w:cs="Arial"/>
        </w:rPr>
      </w:pPr>
    </w:p>
    <w:p w14:paraId="0A4706B9" w14:textId="1F03178D" w:rsidR="00D01704" w:rsidRDefault="00D01704" w:rsidP="00D01704">
      <w:pPr>
        <w:pStyle w:val="Sinespaciado"/>
        <w:rPr>
          <w:rFonts w:ascii="Arial" w:hAnsi="Arial" w:cs="Arial"/>
          <w:b/>
        </w:rPr>
      </w:pPr>
      <w:r w:rsidRPr="00D01704">
        <w:rPr>
          <w:rFonts w:ascii="Arial" w:hAnsi="Arial" w:cs="Arial"/>
          <w:b/>
        </w:rPr>
        <w:t>JAIRO HUMBERTO CRISTO CORREA</w:t>
      </w:r>
      <w:r w:rsidRPr="00D01704">
        <w:rPr>
          <w:rFonts w:ascii="Arial" w:hAnsi="Arial" w:cs="Arial"/>
          <w:b/>
        </w:rPr>
        <w:tab/>
      </w:r>
      <w:r w:rsidRPr="00D01704">
        <w:rPr>
          <w:rFonts w:ascii="Arial" w:hAnsi="Arial" w:cs="Arial"/>
          <w:b/>
        </w:rPr>
        <w:tab/>
      </w:r>
      <w:r w:rsidRPr="00D01704">
        <w:rPr>
          <w:rFonts w:ascii="Arial" w:hAnsi="Arial" w:cs="Arial"/>
          <w:b/>
        </w:rPr>
        <w:t>JUAN DIEGO ECHAVARRÍA SÁNCHEZ</w:t>
      </w:r>
    </w:p>
    <w:p w14:paraId="54AB39BD" w14:textId="094EC29D" w:rsidR="00D01704" w:rsidRPr="00D01704" w:rsidRDefault="00D01704" w:rsidP="00D01704">
      <w:pPr>
        <w:pStyle w:val="Sinespaciado"/>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Representante a la Cámara</w:t>
      </w:r>
    </w:p>
    <w:sectPr w:rsidR="00D01704" w:rsidRPr="00D01704"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AA32" w14:textId="77777777" w:rsidR="0018517D" w:rsidRDefault="0018517D" w:rsidP="001A75AA">
      <w:pPr>
        <w:spacing w:after="0" w:line="240" w:lineRule="auto"/>
      </w:pPr>
      <w:r>
        <w:separator/>
      </w:r>
    </w:p>
  </w:endnote>
  <w:endnote w:type="continuationSeparator" w:id="0">
    <w:p w14:paraId="0B07D8DB" w14:textId="77777777" w:rsidR="0018517D" w:rsidRDefault="0018517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A936" w14:textId="77777777" w:rsidR="0018517D" w:rsidRDefault="0018517D" w:rsidP="001A75AA">
      <w:pPr>
        <w:spacing w:after="0" w:line="240" w:lineRule="auto"/>
      </w:pPr>
      <w:r>
        <w:separator/>
      </w:r>
    </w:p>
  </w:footnote>
  <w:footnote w:type="continuationSeparator" w:id="0">
    <w:p w14:paraId="30E283B1" w14:textId="77777777" w:rsidR="0018517D" w:rsidRDefault="0018517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4"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30"/>
  </w:num>
  <w:num w:numId="3">
    <w:abstractNumId w:val="4"/>
  </w:num>
  <w:num w:numId="4">
    <w:abstractNumId w:val="16"/>
  </w:num>
  <w:num w:numId="5">
    <w:abstractNumId w:val="0"/>
  </w:num>
  <w:num w:numId="6">
    <w:abstractNumId w:val="19"/>
  </w:num>
  <w:num w:numId="7">
    <w:abstractNumId w:val="37"/>
  </w:num>
  <w:num w:numId="8">
    <w:abstractNumId w:val="6"/>
  </w:num>
  <w:num w:numId="9">
    <w:abstractNumId w:val="5"/>
  </w:num>
  <w:num w:numId="10">
    <w:abstractNumId w:val="25"/>
  </w:num>
  <w:num w:numId="11">
    <w:abstractNumId w:val="34"/>
  </w:num>
  <w:num w:numId="12">
    <w:abstractNumId w:val="13"/>
  </w:num>
  <w:num w:numId="13">
    <w:abstractNumId w:val="8"/>
  </w:num>
  <w:num w:numId="14">
    <w:abstractNumId w:val="17"/>
  </w:num>
  <w:num w:numId="15">
    <w:abstractNumId w:val="12"/>
  </w:num>
  <w:num w:numId="16">
    <w:abstractNumId w:val="33"/>
  </w:num>
  <w:num w:numId="17">
    <w:abstractNumId w:val="22"/>
  </w:num>
  <w:num w:numId="18">
    <w:abstractNumId w:val="20"/>
  </w:num>
  <w:num w:numId="19">
    <w:abstractNumId w:val="24"/>
  </w:num>
  <w:num w:numId="20">
    <w:abstractNumId w:val="35"/>
  </w:num>
  <w:num w:numId="21">
    <w:abstractNumId w:val="2"/>
  </w:num>
  <w:num w:numId="22">
    <w:abstractNumId w:val="14"/>
  </w:num>
  <w:num w:numId="23">
    <w:abstractNumId w:val="7"/>
  </w:num>
  <w:num w:numId="24">
    <w:abstractNumId w:val="31"/>
  </w:num>
  <w:num w:numId="25">
    <w:abstractNumId w:val="15"/>
  </w:num>
  <w:num w:numId="26">
    <w:abstractNumId w:val="3"/>
  </w:num>
  <w:num w:numId="27">
    <w:abstractNumId w:val="1"/>
  </w:num>
  <w:num w:numId="28">
    <w:abstractNumId w:val="27"/>
  </w:num>
  <w:num w:numId="29">
    <w:abstractNumId w:val="9"/>
  </w:num>
  <w:num w:numId="30">
    <w:abstractNumId w:val="18"/>
  </w:num>
  <w:num w:numId="31">
    <w:abstractNumId w:val="11"/>
  </w:num>
  <w:num w:numId="32">
    <w:abstractNumId w:val="29"/>
  </w:num>
  <w:num w:numId="33">
    <w:abstractNumId w:val="23"/>
  </w:num>
  <w:num w:numId="34">
    <w:abstractNumId w:val="28"/>
  </w:num>
  <w:num w:numId="35">
    <w:abstractNumId w:val="36"/>
  </w:num>
  <w:num w:numId="36">
    <w:abstractNumId w:val="32"/>
  </w:num>
  <w:num w:numId="37">
    <w:abstractNumId w:val="26"/>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17D"/>
    <w:rsid w:val="001858C5"/>
    <w:rsid w:val="0018610E"/>
    <w:rsid w:val="00193FCF"/>
    <w:rsid w:val="001A0BCD"/>
    <w:rsid w:val="001A224E"/>
    <w:rsid w:val="001A5423"/>
    <w:rsid w:val="001A671F"/>
    <w:rsid w:val="001A71EF"/>
    <w:rsid w:val="001A75AA"/>
    <w:rsid w:val="001B1EBA"/>
    <w:rsid w:val="001B749C"/>
    <w:rsid w:val="001C239C"/>
    <w:rsid w:val="001C7B89"/>
    <w:rsid w:val="001D3991"/>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4471"/>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D7658"/>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226D"/>
    <w:rsid w:val="00935879"/>
    <w:rsid w:val="00940610"/>
    <w:rsid w:val="00942EC8"/>
    <w:rsid w:val="00944956"/>
    <w:rsid w:val="00945341"/>
    <w:rsid w:val="0096051B"/>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5691"/>
    <w:rsid w:val="00A10428"/>
    <w:rsid w:val="00A16740"/>
    <w:rsid w:val="00A17077"/>
    <w:rsid w:val="00A17124"/>
    <w:rsid w:val="00A20232"/>
    <w:rsid w:val="00A20FB3"/>
    <w:rsid w:val="00A223A5"/>
    <w:rsid w:val="00A24B2C"/>
    <w:rsid w:val="00A26683"/>
    <w:rsid w:val="00A32626"/>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2699"/>
    <w:rsid w:val="00AB4143"/>
    <w:rsid w:val="00AC5DB8"/>
    <w:rsid w:val="00AD05D9"/>
    <w:rsid w:val="00AD0929"/>
    <w:rsid w:val="00AD580C"/>
    <w:rsid w:val="00AE5DE7"/>
    <w:rsid w:val="00AF3851"/>
    <w:rsid w:val="00AF6350"/>
    <w:rsid w:val="00B02A0C"/>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DBE"/>
    <w:rsid w:val="00B94E5B"/>
    <w:rsid w:val="00BA02B8"/>
    <w:rsid w:val="00BA5448"/>
    <w:rsid w:val="00BB0BEC"/>
    <w:rsid w:val="00BB0EC1"/>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1704"/>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288A"/>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5F9B"/>
    <w:rsid w:val="00E17403"/>
    <w:rsid w:val="00E222F7"/>
    <w:rsid w:val="00E24232"/>
    <w:rsid w:val="00E321F6"/>
    <w:rsid w:val="00E40C87"/>
    <w:rsid w:val="00E42F28"/>
    <w:rsid w:val="00E4662B"/>
    <w:rsid w:val="00E47A08"/>
    <w:rsid w:val="00E501B8"/>
    <w:rsid w:val="00E501C3"/>
    <w:rsid w:val="00E52A0D"/>
    <w:rsid w:val="00E53778"/>
    <w:rsid w:val="00E5517D"/>
    <w:rsid w:val="00E55E1E"/>
    <w:rsid w:val="00E61324"/>
    <w:rsid w:val="00E62CF7"/>
    <w:rsid w:val="00E67E16"/>
    <w:rsid w:val="00E70C84"/>
    <w:rsid w:val="00E71BF7"/>
    <w:rsid w:val="00E71E72"/>
    <w:rsid w:val="00E73DC8"/>
    <w:rsid w:val="00E77C5E"/>
    <w:rsid w:val="00E77D6C"/>
    <w:rsid w:val="00E80709"/>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 w:val="00FF6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EE8F-7C98-4B97-8EC1-8D71D774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2021-10-26T22:09:00Z</dcterms:created>
  <dcterms:modified xsi:type="dcterms:W3CDTF">2021-10-26T22:09:00Z</dcterms:modified>
</cp:coreProperties>
</file>